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33175D34"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#10</w:t>
      </w:r>
      <w:r w:rsidR="002D4870">
        <w:rPr>
          <w:rFonts w:ascii="Arial" w:hAnsi="Arial" w:cs="Arial"/>
        </w:rPr>
        <w:t>8</w:t>
      </w:r>
      <w:r w:rsidR="00B548DA" w:rsidRPr="00765F24">
        <w:rPr>
          <w:rFonts w:ascii="Arial" w:hAnsi="Arial" w:cs="Arial"/>
        </w:rPr>
        <w:tab/>
      </w:r>
      <w:r w:rsidR="002D4870">
        <w:rPr>
          <w:rFonts w:ascii="Arial" w:hAnsi="Arial" w:cs="Arial"/>
        </w:rPr>
        <w:t>R2-</w:t>
      </w:r>
      <w:r w:rsidR="00714403" w:rsidRPr="00714403">
        <w:rPr>
          <w:rFonts w:ascii="Arial" w:hAnsi="Arial" w:cs="Arial"/>
        </w:rPr>
        <w:t>1915539</w:t>
      </w:r>
      <w:r w:rsidR="002D4870">
        <w:rPr>
          <w:rFonts w:ascii="Arial" w:hAnsi="Arial" w:cs="Arial"/>
        </w:rPr>
        <w:t xml:space="preserve"> (Revision of </w:t>
      </w:r>
      <w:r w:rsidR="008E1D88" w:rsidRPr="00765F24">
        <w:rPr>
          <w:rFonts w:ascii="Arial" w:hAnsi="Arial" w:cs="Arial"/>
        </w:rPr>
        <w:t>R2-</w:t>
      </w:r>
      <w:r w:rsidR="00E240E3" w:rsidRPr="00E240E3">
        <w:rPr>
          <w:rFonts w:ascii="Arial" w:hAnsi="Arial" w:cs="Arial"/>
        </w:rPr>
        <w:t>1912691</w:t>
      </w:r>
      <w:r w:rsidR="002D4870">
        <w:rPr>
          <w:rFonts w:ascii="Arial" w:hAnsi="Arial" w:cs="Arial"/>
        </w:rPr>
        <w:t>)</w:t>
      </w:r>
    </w:p>
    <w:p w14:paraId="7A9879CD" w14:textId="429F79CB" w:rsidR="00584ABE" w:rsidRPr="00834D2B" w:rsidRDefault="002D4870" w:rsidP="00834D2B">
      <w:pPr>
        <w:pStyle w:val="3GPPHeader"/>
        <w:spacing w:after="60"/>
        <w:rPr>
          <w:rFonts w:ascii="Arial" w:hAnsi="Arial" w:cs="Arial"/>
          <w:b w:val="0"/>
          <w:noProof/>
          <w:sz w:val="20"/>
          <w:szCs w:val="20"/>
        </w:rPr>
      </w:pPr>
      <w:r>
        <w:rPr>
          <w:rFonts w:ascii="Arial" w:hAnsi="Arial" w:cs="Arial"/>
        </w:rPr>
        <w:t>Reno</w:t>
      </w:r>
      <w:r w:rsidRPr="00F42AC8">
        <w:rPr>
          <w:rFonts w:ascii="Arial" w:hAnsi="Arial" w:cs="Arial"/>
        </w:rPr>
        <w:t xml:space="preserve">, </w:t>
      </w:r>
      <w:r>
        <w:rPr>
          <w:rFonts w:ascii="Arial" w:hAnsi="Arial" w:cs="Arial"/>
        </w:rPr>
        <w:t>USA</w:t>
      </w:r>
      <w:r w:rsidRPr="00F42AC8">
        <w:rPr>
          <w:rFonts w:ascii="Arial" w:hAnsi="Arial" w:cs="Arial"/>
        </w:rPr>
        <w:t xml:space="preserve">, </w:t>
      </w:r>
      <w:r>
        <w:rPr>
          <w:rFonts w:ascii="Arial" w:hAnsi="Arial" w:cs="Arial"/>
        </w:rPr>
        <w:t>18th</w:t>
      </w:r>
      <w:r w:rsidRPr="00F42AC8">
        <w:rPr>
          <w:rFonts w:ascii="Arial" w:hAnsi="Arial" w:cs="Arial"/>
        </w:rPr>
        <w:t xml:space="preserve"> </w:t>
      </w:r>
      <w:r w:rsidR="00EB1800">
        <w:rPr>
          <w:rFonts w:ascii="Arial" w:hAnsi="Arial" w:cs="Arial"/>
        </w:rPr>
        <w:t>Nov</w:t>
      </w:r>
      <w:r w:rsidRPr="00F42AC8">
        <w:rPr>
          <w:rFonts w:ascii="Arial" w:hAnsi="Arial" w:cs="Arial"/>
        </w:rPr>
        <w:t xml:space="preserve"> </w:t>
      </w:r>
      <w:r>
        <w:rPr>
          <w:rFonts w:ascii="Arial" w:hAnsi="Arial" w:cs="Arial"/>
        </w:rPr>
        <w:t>– 22nd</w:t>
      </w:r>
      <w:r w:rsidRPr="00F42AC8">
        <w:rPr>
          <w:rFonts w:ascii="Arial" w:hAnsi="Arial" w:cs="Arial"/>
        </w:rPr>
        <w:t xml:space="preserve"> </w:t>
      </w:r>
      <w:r>
        <w:rPr>
          <w:rFonts w:ascii="Arial" w:hAnsi="Arial" w:cs="Arial"/>
        </w:rPr>
        <w:t>Nov</w:t>
      </w:r>
      <w:r w:rsidRPr="00F42AC8">
        <w:rPr>
          <w:rFonts w:ascii="Arial" w:hAnsi="Arial" w:cs="Arial"/>
        </w:rPr>
        <w:t xml:space="preserve"> 2019</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0E3A750B"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r>
      <w:r w:rsidR="004A4223">
        <w:rPr>
          <w:rFonts w:ascii="Arial" w:hAnsi="Arial" w:cs="Arial"/>
          <w:sz w:val="22"/>
        </w:rPr>
        <w:t>6</w:t>
      </w:r>
      <w:r w:rsidRPr="002B2378">
        <w:rPr>
          <w:rFonts w:ascii="Arial" w:hAnsi="Arial" w:cs="Arial"/>
          <w:sz w:val="22"/>
        </w:rPr>
        <w:t>.</w:t>
      </w:r>
      <w:r w:rsidR="005A1755">
        <w:rPr>
          <w:rFonts w:ascii="Arial" w:hAnsi="Arial" w:cs="Arial"/>
          <w:sz w:val="22"/>
        </w:rPr>
        <w:t>11</w:t>
      </w:r>
      <w:r w:rsidR="00D37345" w:rsidRPr="002B2378">
        <w:rPr>
          <w:rFonts w:ascii="Arial" w:hAnsi="Arial" w:cs="Arial"/>
          <w:sz w:val="22"/>
        </w:rPr>
        <w:t>.</w:t>
      </w:r>
      <w:r w:rsidR="004A4223">
        <w:rPr>
          <w:rFonts w:ascii="Arial" w:hAnsi="Arial" w:cs="Arial"/>
          <w:sz w:val="22"/>
        </w:rPr>
        <w:t>6</w:t>
      </w:r>
    </w:p>
    <w:p w14:paraId="31F0AA2B" w14:textId="077E409F" w:rsidR="00584ABE" w:rsidRPr="007A3FE1" w:rsidRDefault="00584ABE" w:rsidP="00AC7CC7">
      <w:pPr>
        <w:pStyle w:val="3GPPHeader"/>
        <w:tabs>
          <w:tab w:val="clear" w:pos="9639"/>
          <w:tab w:val="left" w:pos="8246"/>
        </w:tabs>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r w:rsidR="000A0A4B">
        <w:rPr>
          <w:rFonts w:ascii="Arial" w:hAnsi="Arial" w:cs="Arial"/>
          <w:sz w:val="22"/>
        </w:rPr>
        <w:tab/>
      </w:r>
    </w:p>
    <w:p w14:paraId="78BCFC60" w14:textId="1442608D"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AE4E30">
        <w:rPr>
          <w:rFonts w:ascii="Arial" w:hAnsi="Arial" w:cs="Arial"/>
          <w:sz w:val="22"/>
        </w:rPr>
        <w:t>Considerations on the RRM measurement relaxation</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17B526A6" w14:textId="76AEB898" w:rsidR="00F0780F" w:rsidRPr="004708B4" w:rsidRDefault="00D8203B" w:rsidP="005923F4">
      <w:pPr>
        <w:pStyle w:val="Heading1"/>
        <w:rPr>
          <w:lang w:val="en-US"/>
        </w:rPr>
      </w:pPr>
      <w:r w:rsidRPr="002202E1">
        <w:rPr>
          <w:lang w:val="en-US"/>
        </w:rPr>
        <w:t>Introduction</w:t>
      </w:r>
      <w:bookmarkStart w:id="1" w:name="_Ref462918989"/>
      <w:bookmarkEnd w:id="0"/>
    </w:p>
    <w:p w14:paraId="7D77B621" w14:textId="0BC0ABF4" w:rsidR="0055288B" w:rsidRDefault="0045593F" w:rsidP="005923F4">
      <w:pPr>
        <w:pStyle w:val="BodyText"/>
        <w:rPr>
          <w:rFonts w:ascii="Times New Roman" w:hAnsi="Times New Roman" w:cs="Times New Roman"/>
          <w:lang w:eastAsia="en-US"/>
        </w:rPr>
      </w:pPr>
      <w:r>
        <w:rPr>
          <w:rFonts w:ascii="Times New Roman" w:hAnsi="Times New Roman" w:cs="Times New Roman"/>
          <w:lang w:eastAsia="en-US"/>
        </w:rPr>
        <w:t xml:space="preserve">In RAN2#107 meeting, the following agreements were made regarding to the RRM measurement relaxation criteria, </w:t>
      </w:r>
      <w:r w:rsidR="00F56372">
        <w:rPr>
          <w:rFonts w:ascii="Times New Roman" w:hAnsi="Times New Roman" w:cs="Times New Roman"/>
          <w:lang w:eastAsia="en-US"/>
        </w:rPr>
        <w:t>in which</w:t>
      </w:r>
      <w:r>
        <w:rPr>
          <w:rFonts w:ascii="Times New Roman" w:hAnsi="Times New Roman" w:cs="Times New Roman"/>
          <w:lang w:eastAsia="en-US"/>
        </w:rPr>
        <w:t xml:space="preserve"> two key criteria </w:t>
      </w:r>
      <w:r w:rsidR="00F56372">
        <w:rPr>
          <w:rFonts w:ascii="Times New Roman" w:hAnsi="Times New Roman" w:cs="Times New Roman"/>
          <w:lang w:eastAsia="en-US"/>
        </w:rPr>
        <w:t>are identified</w:t>
      </w:r>
      <w:r w:rsidR="00375FE0">
        <w:rPr>
          <w:rFonts w:ascii="Times New Roman" w:hAnsi="Times New Roman" w:cs="Times New Roman"/>
          <w:lang w:eastAsia="en-US"/>
        </w:rPr>
        <w:t xml:space="preserve"> [1]</w:t>
      </w:r>
      <w:r>
        <w:rPr>
          <w:rFonts w:ascii="Times New Roman" w:hAnsi="Times New Roman" w:cs="Times New Roman"/>
          <w:lang w:eastAsia="en-US"/>
        </w:rPr>
        <w:t>:</w:t>
      </w:r>
    </w:p>
    <w:p w14:paraId="4CCB516C" w14:textId="617E0E4A" w:rsidR="0045593F" w:rsidRDefault="0045593F" w:rsidP="00BD0FBB">
      <w:pPr>
        <w:pStyle w:val="BodyText"/>
        <w:numPr>
          <w:ilvl w:val="0"/>
          <w:numId w:val="10"/>
        </w:numPr>
        <w:rPr>
          <w:rFonts w:ascii="Times New Roman" w:hAnsi="Times New Roman" w:cs="Times New Roman"/>
          <w:lang w:eastAsia="en-US"/>
        </w:rPr>
      </w:pPr>
      <w:r>
        <w:rPr>
          <w:rFonts w:ascii="Times New Roman" w:hAnsi="Times New Roman" w:cs="Times New Roman"/>
          <w:lang w:eastAsia="en-US"/>
        </w:rPr>
        <w:t>Low mobility UE</w:t>
      </w:r>
    </w:p>
    <w:p w14:paraId="73159B5A" w14:textId="52459031" w:rsidR="00B80A15" w:rsidRPr="00B80A15" w:rsidRDefault="0045593F" w:rsidP="00BD0FBB">
      <w:pPr>
        <w:pStyle w:val="BodyText"/>
        <w:numPr>
          <w:ilvl w:val="0"/>
          <w:numId w:val="10"/>
        </w:numPr>
        <w:rPr>
          <w:rFonts w:ascii="Times New Roman" w:hAnsi="Times New Roman" w:cs="Times New Roman"/>
          <w:lang w:eastAsia="en-US"/>
        </w:rPr>
      </w:pPr>
      <w:r>
        <w:rPr>
          <w:rFonts w:ascii="Times New Roman" w:hAnsi="Times New Roman" w:cs="Times New Roman"/>
          <w:lang w:eastAsia="en-US"/>
        </w:rPr>
        <w:t>UE not at the cell edge</w:t>
      </w:r>
    </w:p>
    <w:p w14:paraId="1D9D55B6" w14:textId="475F00CD" w:rsidR="00B80A15" w:rsidRPr="00B80A15" w:rsidRDefault="00B80A15" w:rsidP="00B80A15">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cs="Times New Roman"/>
          <w:b/>
          <w:bCs/>
        </w:rPr>
      </w:pPr>
      <w:r w:rsidRPr="00B80A15">
        <w:rPr>
          <w:rFonts w:ascii="Times New Roman" w:hAnsi="Times New Roman" w:cs="Times New Roman"/>
          <w:b/>
          <w:bCs/>
        </w:rPr>
        <w:t xml:space="preserve">Agreements </w:t>
      </w:r>
      <w:r w:rsidR="00FD5BCB">
        <w:rPr>
          <w:rFonts w:ascii="Times New Roman" w:hAnsi="Times New Roman" w:cs="Times New Roman"/>
          <w:b/>
          <w:bCs/>
        </w:rPr>
        <w:t>in RAN2#107</w:t>
      </w:r>
    </w:p>
    <w:p w14:paraId="37EDE143" w14:textId="77777777" w:rsidR="00B80A15" w:rsidRPr="00B80A15" w:rsidRDefault="00B80A15" w:rsidP="00BD0FBB">
      <w:pPr>
        <w:pStyle w:val="Doc-text2"/>
        <w:numPr>
          <w:ilvl w:val="0"/>
          <w:numId w:val="11"/>
        </w:num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rPr>
      </w:pPr>
      <w:r w:rsidRPr="00B80A15">
        <w:rPr>
          <w:rFonts w:ascii="Times New Roman" w:hAnsi="Times New Roman" w:cs="Times New Roman"/>
        </w:rPr>
        <w:t xml:space="preserve">Measurement relaxation criteria can consider both low mobility and UE location in the cell (e.g. whether the UE is in cell-edge).    </w:t>
      </w:r>
    </w:p>
    <w:p w14:paraId="3BE79F62" w14:textId="26D196B0" w:rsidR="00B80A15" w:rsidRPr="00B80A15" w:rsidRDefault="00B80A15" w:rsidP="00BD0FBB">
      <w:pPr>
        <w:pStyle w:val="Doc-text2"/>
        <w:numPr>
          <w:ilvl w:val="0"/>
          <w:numId w:val="11"/>
        </w:num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rPr>
      </w:pPr>
      <w:r w:rsidRPr="00B80A15">
        <w:rPr>
          <w:rFonts w:ascii="Times New Roman" w:hAnsi="Times New Roman" w:cs="Times New Roman"/>
        </w:rPr>
        <w:t>UE may activate relaxed measurement criteria if at least any of the following conditions are met:</w:t>
      </w:r>
    </w:p>
    <w:p w14:paraId="42F27BCF" w14:textId="77777777" w:rsidR="00DD53EF" w:rsidRDefault="00B80A15" w:rsidP="00DD53EF">
      <w:pPr>
        <w:pStyle w:val="Doc-text2"/>
        <w:pBdr>
          <w:top w:val="single" w:sz="4" w:space="1" w:color="auto"/>
          <w:left w:val="single" w:sz="4" w:space="4" w:color="auto"/>
          <w:bottom w:val="single" w:sz="4" w:space="1" w:color="auto"/>
          <w:right w:val="single" w:sz="4" w:space="4" w:color="auto"/>
        </w:pBdr>
        <w:ind w:left="0" w:firstLine="426"/>
        <w:rPr>
          <w:rFonts w:ascii="Times New Roman" w:hAnsi="Times New Roman" w:cs="Times New Roman"/>
        </w:rPr>
      </w:pPr>
      <w:r w:rsidRPr="00B80A15">
        <w:rPr>
          <w:rFonts w:ascii="Times New Roman" w:hAnsi="Times New Roman" w:cs="Times New Roman"/>
        </w:rPr>
        <w:t>a) Serving Cell measurement does not change more than a relative threshold during a time period</w:t>
      </w:r>
    </w:p>
    <w:p w14:paraId="5290B52C" w14:textId="32CECF46" w:rsidR="00B80A15" w:rsidRDefault="00B80A15" w:rsidP="00DD53EF">
      <w:pPr>
        <w:pStyle w:val="Doc-text2"/>
        <w:pBdr>
          <w:top w:val="single" w:sz="4" w:space="1" w:color="auto"/>
          <w:left w:val="single" w:sz="4" w:space="4" w:color="auto"/>
          <w:bottom w:val="single" w:sz="4" w:space="1" w:color="auto"/>
          <w:right w:val="single" w:sz="4" w:space="4" w:color="auto"/>
        </w:pBdr>
        <w:tabs>
          <w:tab w:val="clear" w:pos="1622"/>
          <w:tab w:val="left" w:pos="1418"/>
        </w:tabs>
        <w:ind w:left="0" w:firstLine="426"/>
        <w:rPr>
          <w:rFonts w:ascii="Times New Roman" w:hAnsi="Times New Roman" w:cs="Times New Roman"/>
        </w:rPr>
      </w:pPr>
      <w:r>
        <w:rPr>
          <w:rFonts w:ascii="Times New Roman" w:hAnsi="Times New Roman" w:cs="Times New Roman"/>
        </w:rPr>
        <w:t xml:space="preserve">- </w:t>
      </w:r>
      <w:r w:rsidRPr="00B80A15">
        <w:rPr>
          <w:rFonts w:ascii="Times New Roman" w:hAnsi="Times New Roman" w:cs="Times New Roman"/>
        </w:rPr>
        <w:t xml:space="preserve">LTE relaxed monitoring criteria in 36.304 is considered as a baseline. Additional enhancements to address aspects that are specific to NR can be considered. </w:t>
      </w:r>
    </w:p>
    <w:p w14:paraId="2961CCA2" w14:textId="786EED40" w:rsidR="00B80A15" w:rsidRPr="00B80A15" w:rsidRDefault="00B80A15" w:rsidP="00DD53EF">
      <w:pPr>
        <w:pStyle w:val="Doc-text2"/>
        <w:pBdr>
          <w:top w:val="single" w:sz="4" w:space="1" w:color="auto"/>
          <w:left w:val="single" w:sz="4" w:space="4" w:color="auto"/>
          <w:bottom w:val="single" w:sz="4" w:space="1" w:color="auto"/>
          <w:right w:val="single" w:sz="4" w:space="4" w:color="auto"/>
        </w:pBdr>
        <w:ind w:left="0" w:firstLine="426"/>
        <w:rPr>
          <w:rFonts w:ascii="Times New Roman" w:hAnsi="Times New Roman" w:cs="Times New Roman"/>
        </w:rPr>
      </w:pPr>
      <w:r w:rsidRPr="00B80A15">
        <w:rPr>
          <w:rFonts w:ascii="Times New Roman" w:hAnsi="Times New Roman" w:cs="Times New Roman"/>
        </w:rPr>
        <w:t>b) UE is not a cell edge, meaning that serving cell/beam RSRP/RSRQ/SINR is above a threshold</w:t>
      </w:r>
    </w:p>
    <w:p w14:paraId="27F43666" w14:textId="474A6C0C" w:rsidR="00B80A15" w:rsidRDefault="00B80A15" w:rsidP="00DD53EF">
      <w:pPr>
        <w:pStyle w:val="Doc-text2"/>
        <w:pBdr>
          <w:top w:val="single" w:sz="4" w:space="1" w:color="auto"/>
          <w:left w:val="single" w:sz="4" w:space="4" w:color="auto"/>
          <w:bottom w:val="single" w:sz="4" w:space="1" w:color="auto"/>
          <w:right w:val="single" w:sz="4" w:space="4" w:color="auto"/>
        </w:pBdr>
        <w:ind w:left="0" w:firstLine="426"/>
      </w:pPr>
      <w:r w:rsidRPr="00B80A15">
        <w:rPr>
          <w:rFonts w:ascii="Times New Roman" w:hAnsi="Times New Roman" w:cs="Times New Roman"/>
        </w:rPr>
        <w:t>FFS: Whether neighbour cell RSRP should also be considered.</w:t>
      </w:r>
    </w:p>
    <w:p w14:paraId="58CB7EAB" w14:textId="77777777" w:rsidR="00A80D6E" w:rsidRDefault="00A80D6E" w:rsidP="005923F4">
      <w:pPr>
        <w:pStyle w:val="BodyText"/>
        <w:rPr>
          <w:rFonts w:ascii="Times New Roman" w:hAnsi="Times New Roman" w:cs="Times New Roman"/>
          <w:lang w:eastAsia="en-US"/>
        </w:rPr>
      </w:pPr>
    </w:p>
    <w:p w14:paraId="66CA17BB" w14:textId="7DDC042F" w:rsidR="00B80A15" w:rsidRDefault="00A80D6E" w:rsidP="005923F4">
      <w:pPr>
        <w:pStyle w:val="BodyText"/>
        <w:rPr>
          <w:rFonts w:ascii="Times New Roman" w:hAnsi="Times New Roman" w:cs="Times New Roman"/>
          <w:lang w:eastAsia="en-US"/>
        </w:rPr>
      </w:pPr>
      <w:r>
        <w:rPr>
          <w:rFonts w:ascii="Times New Roman" w:hAnsi="Times New Roman" w:cs="Times New Roman"/>
          <w:lang w:eastAsia="en-US"/>
        </w:rPr>
        <w:t>It was further agreed in RAN2#107bis meeting that the triggering criteria (i.e., cell-edge or low mobility) can be configured independently by the network</w:t>
      </w:r>
      <w:r w:rsidR="00506CB0">
        <w:rPr>
          <w:rFonts w:ascii="Times New Roman" w:hAnsi="Times New Roman" w:cs="Times New Roman"/>
          <w:lang w:eastAsia="en-US"/>
        </w:rPr>
        <w:t xml:space="preserve"> [2]</w:t>
      </w:r>
      <w:r>
        <w:rPr>
          <w:rFonts w:ascii="Times New Roman" w:hAnsi="Times New Roman" w:cs="Times New Roman"/>
          <w:lang w:eastAsia="en-US"/>
        </w:rPr>
        <w:t>.</w:t>
      </w:r>
    </w:p>
    <w:p w14:paraId="6B202E25" w14:textId="2607C910" w:rsidR="00FD5BCB" w:rsidRPr="00B80A15" w:rsidRDefault="00FD5BCB" w:rsidP="00FD5BCB">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cs="Times New Roman"/>
          <w:b/>
          <w:bCs/>
        </w:rPr>
      </w:pPr>
      <w:r w:rsidRPr="00B80A15">
        <w:rPr>
          <w:rFonts w:ascii="Times New Roman" w:hAnsi="Times New Roman" w:cs="Times New Roman"/>
          <w:b/>
          <w:bCs/>
        </w:rPr>
        <w:t xml:space="preserve">Agreements </w:t>
      </w:r>
      <w:r>
        <w:rPr>
          <w:rFonts w:ascii="Times New Roman" w:hAnsi="Times New Roman" w:cs="Times New Roman"/>
          <w:b/>
          <w:bCs/>
        </w:rPr>
        <w:t xml:space="preserve">in RAN2#107bis </w:t>
      </w:r>
    </w:p>
    <w:p w14:paraId="4C9729D1" w14:textId="079A01B0" w:rsidR="00FD5BCB" w:rsidRDefault="00FD5BCB" w:rsidP="00FD5BCB">
      <w:pPr>
        <w:pStyle w:val="Doc-text2"/>
        <w:numPr>
          <w:ilvl w:val="0"/>
          <w:numId w:val="13"/>
        </w:num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rPr>
      </w:pPr>
      <w:r w:rsidRPr="00FD5BCB">
        <w:rPr>
          <w:rFonts w:ascii="Times New Roman" w:hAnsi="Times New Roman" w:cs="Times New Roman"/>
        </w:rPr>
        <w:t>Network can configure the triggering criteria independently (i.e. either cell-edge or low mobility or both)</w:t>
      </w:r>
    </w:p>
    <w:p w14:paraId="36DF9693" w14:textId="7C9AF7F1" w:rsidR="00FD5BCB" w:rsidRPr="00FD5BCB" w:rsidRDefault="00FD5BCB" w:rsidP="00FD5BCB">
      <w:pPr>
        <w:pStyle w:val="Doc-text2"/>
        <w:numPr>
          <w:ilvl w:val="0"/>
          <w:numId w:val="13"/>
        </w:num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rPr>
      </w:pPr>
      <w:r w:rsidRPr="00FD5BCB">
        <w:rPr>
          <w:rFonts w:ascii="Times New Roman" w:hAnsi="Times New Roman" w:cs="Times New Roman"/>
        </w:rPr>
        <w:t>Cell-edge criteria will not consider neighbour cell measurements</w:t>
      </w:r>
      <w:r>
        <w:rPr>
          <w:rFonts w:ascii="Times New Roman" w:hAnsi="Times New Roman" w:cs="Times New Roman"/>
        </w:rPr>
        <w:t>.</w:t>
      </w:r>
    </w:p>
    <w:p w14:paraId="222D307F" w14:textId="77777777" w:rsidR="00FD5BCB" w:rsidRDefault="00FD5BCB" w:rsidP="005923F4">
      <w:pPr>
        <w:pStyle w:val="BodyText"/>
        <w:rPr>
          <w:rFonts w:ascii="Times New Roman" w:hAnsi="Times New Roman" w:cs="Times New Roman"/>
          <w:lang w:eastAsia="en-US"/>
        </w:rPr>
      </w:pPr>
    </w:p>
    <w:p w14:paraId="66276C52" w14:textId="2A6FE83D" w:rsidR="00633833" w:rsidRPr="009C290F" w:rsidRDefault="00F56372" w:rsidP="005923F4">
      <w:pPr>
        <w:pStyle w:val="BodyText"/>
        <w:rPr>
          <w:rFonts w:ascii="Times New Roman" w:hAnsi="Times New Roman" w:cs="Times New Roman"/>
          <w:lang w:eastAsia="en-US"/>
        </w:rPr>
      </w:pPr>
      <w:r>
        <w:rPr>
          <w:rFonts w:ascii="Times New Roman" w:hAnsi="Times New Roman" w:cs="Times New Roman"/>
          <w:lang w:eastAsia="en-US"/>
        </w:rPr>
        <w:t xml:space="preserve">In this paper, we </w:t>
      </w:r>
      <w:r w:rsidR="00386B57">
        <w:rPr>
          <w:rFonts w:ascii="Times New Roman" w:hAnsi="Times New Roman" w:cs="Times New Roman"/>
          <w:lang w:eastAsia="en-US"/>
        </w:rPr>
        <w:t xml:space="preserve">first </w:t>
      </w:r>
      <w:r>
        <w:rPr>
          <w:rFonts w:ascii="Times New Roman" w:hAnsi="Times New Roman" w:cs="Times New Roman"/>
          <w:lang w:eastAsia="en-US"/>
        </w:rPr>
        <w:t xml:space="preserve">discuss what is still missing based on the current agreements, and then propose to use the UE mobility state in addition to the criterion mentioned in agreement#2a to determine UE’s mobility in a finer lever. The finer level of UE mobility state </w:t>
      </w:r>
      <w:r w:rsidR="00386B57">
        <w:rPr>
          <w:rFonts w:ascii="Times New Roman" w:hAnsi="Times New Roman" w:cs="Times New Roman"/>
          <w:lang w:eastAsia="en-US"/>
        </w:rPr>
        <w:t xml:space="preserve">can </w:t>
      </w:r>
      <w:r>
        <w:rPr>
          <w:rFonts w:ascii="Times New Roman" w:hAnsi="Times New Roman" w:cs="Times New Roman"/>
          <w:lang w:eastAsia="en-US"/>
        </w:rPr>
        <w:t>then</w:t>
      </w:r>
      <w:r w:rsidR="00B02D9E">
        <w:rPr>
          <w:rFonts w:ascii="Times New Roman" w:hAnsi="Times New Roman" w:cs="Times New Roman"/>
          <w:lang w:eastAsia="en-US"/>
        </w:rPr>
        <w:t xml:space="preserve"> be</w:t>
      </w:r>
      <w:r>
        <w:rPr>
          <w:rFonts w:ascii="Times New Roman" w:hAnsi="Times New Roman" w:cs="Times New Roman"/>
          <w:lang w:eastAsia="en-US"/>
        </w:rPr>
        <w:t xml:space="preserve"> used to </w:t>
      </w:r>
      <w:r w:rsidR="00B02D9E">
        <w:rPr>
          <w:rFonts w:ascii="Times New Roman" w:hAnsi="Times New Roman" w:cs="Times New Roman"/>
          <w:lang w:eastAsia="en-US"/>
        </w:rPr>
        <w:t>determine</w:t>
      </w:r>
      <w:r>
        <w:rPr>
          <w:rFonts w:ascii="Times New Roman" w:hAnsi="Times New Roman" w:cs="Times New Roman"/>
          <w:lang w:eastAsia="en-US"/>
        </w:rPr>
        <w:t xml:space="preserve"> how the UE is going to relax the intra-frequency and/or inter-frequency measurement.</w:t>
      </w:r>
    </w:p>
    <w:p w14:paraId="55141043" w14:textId="77777777" w:rsidR="00D8203B" w:rsidRPr="00DC33E4" w:rsidRDefault="00D8203B" w:rsidP="005923F4">
      <w:pPr>
        <w:pStyle w:val="Heading1"/>
        <w:rPr>
          <w:lang w:val="en-US"/>
        </w:rPr>
      </w:pPr>
      <w:bookmarkStart w:id="2" w:name="_Ref178064866"/>
      <w:r w:rsidRPr="00DC33E4">
        <w:rPr>
          <w:lang w:val="en-US"/>
        </w:rPr>
        <w:t>Discussion</w:t>
      </w:r>
      <w:bookmarkEnd w:id="2"/>
    </w:p>
    <w:p w14:paraId="57250B86" w14:textId="79F45BA3" w:rsidR="00564C6D" w:rsidRDefault="007C6B2F" w:rsidP="00564C6D">
      <w:pPr>
        <w:pStyle w:val="Heading2"/>
        <w:rPr>
          <w:lang w:val="en-US"/>
        </w:rPr>
      </w:pPr>
      <w:r>
        <w:rPr>
          <w:lang w:val="en-US"/>
        </w:rPr>
        <w:t xml:space="preserve">The possible negative impact to </w:t>
      </w:r>
      <w:r w:rsidR="000717E5">
        <w:rPr>
          <w:lang w:val="en-US"/>
        </w:rPr>
        <w:t xml:space="preserve">the </w:t>
      </w:r>
      <w:r>
        <w:rPr>
          <w:lang w:val="en-US"/>
        </w:rPr>
        <w:t>UE mobility performance</w:t>
      </w:r>
    </w:p>
    <w:p w14:paraId="566E9557" w14:textId="0416DF6E" w:rsidR="009C290F" w:rsidRDefault="009776F3" w:rsidP="00102A86">
      <w:pPr>
        <w:rPr>
          <w:rFonts w:ascii="Times New Roman" w:hAnsi="Times New Roman"/>
        </w:rPr>
      </w:pPr>
      <w:r>
        <w:rPr>
          <w:rFonts w:ascii="Times New Roman" w:hAnsi="Times New Roman"/>
        </w:rPr>
        <w:t>The criterion mentioned in agreement#2a in the previous section is based on the LTE relaxed monitoring criteria specified in TS 36.304, and its target use case is for the NB-</w:t>
      </w:r>
      <w:proofErr w:type="spellStart"/>
      <w:r>
        <w:rPr>
          <w:rFonts w:ascii="Times New Roman" w:hAnsi="Times New Roman"/>
        </w:rPr>
        <w:t>IoT</w:t>
      </w:r>
      <w:proofErr w:type="spellEnd"/>
      <w:r>
        <w:rPr>
          <w:rFonts w:ascii="Times New Roman" w:hAnsi="Times New Roman"/>
        </w:rPr>
        <w:t xml:space="preserve">/MTC UE that is </w:t>
      </w:r>
      <w:r w:rsidR="000503BF">
        <w:rPr>
          <w:rFonts w:ascii="Times New Roman" w:hAnsi="Times New Roman"/>
        </w:rPr>
        <w:t>typically</w:t>
      </w:r>
      <w:r>
        <w:rPr>
          <w:rFonts w:ascii="Times New Roman" w:hAnsi="Times New Roman"/>
        </w:rPr>
        <w:t xml:space="preserve"> stationary. </w:t>
      </w:r>
      <w:r w:rsidR="00AC4E4F">
        <w:rPr>
          <w:rFonts w:ascii="Times New Roman" w:hAnsi="Times New Roman"/>
        </w:rPr>
        <w:t>Therefore</w:t>
      </w:r>
      <w:r w:rsidR="00AF4D41">
        <w:rPr>
          <w:rFonts w:ascii="Times New Roman" w:hAnsi="Times New Roman"/>
        </w:rPr>
        <w:t>,</w:t>
      </w:r>
      <w:r w:rsidR="00AC4E4F">
        <w:rPr>
          <w:rFonts w:ascii="Times New Roman" w:hAnsi="Times New Roman"/>
        </w:rPr>
        <w:t xml:space="preserve"> the criterion in agreement#2a </w:t>
      </w:r>
      <w:r w:rsidR="00C717F4">
        <w:rPr>
          <w:rFonts w:ascii="Times New Roman" w:hAnsi="Times New Roman"/>
        </w:rPr>
        <w:t>only needs to be capable of differentiating stationary UEs from non-</w:t>
      </w:r>
      <w:r w:rsidR="00C717F4">
        <w:rPr>
          <w:rFonts w:ascii="Times New Roman" w:hAnsi="Times New Roman"/>
        </w:rPr>
        <w:lastRenderedPageBreak/>
        <w:t xml:space="preserve">stationary UEs; the finer level of UE mobility judgement (e.g., normal-mobility/medium-mobility/high-mobility) is not required. </w:t>
      </w:r>
    </w:p>
    <w:p w14:paraId="2932EEBC" w14:textId="1BFE6768" w:rsidR="00AA008E" w:rsidRDefault="00AA008E" w:rsidP="00102A86">
      <w:pPr>
        <w:rPr>
          <w:rFonts w:ascii="Times New Roman" w:hAnsi="Times New Roman"/>
        </w:rPr>
      </w:pPr>
      <w:r w:rsidRPr="006F2A1A">
        <w:rPr>
          <w:rFonts w:ascii="Times New Roman" w:hAnsi="Times New Roman" w:cs="Times New Roman"/>
          <w:b/>
          <w:lang w:eastAsia="en-US"/>
        </w:rPr>
        <w:t xml:space="preserve">Observation 1: </w:t>
      </w:r>
      <w:r w:rsidR="00677DA0">
        <w:rPr>
          <w:rFonts w:ascii="Times New Roman" w:hAnsi="Times New Roman" w:cs="Times New Roman"/>
          <w:b/>
          <w:lang w:eastAsia="en-US"/>
        </w:rPr>
        <w:t>T</w:t>
      </w:r>
      <w:r w:rsidR="003445B6">
        <w:rPr>
          <w:rFonts w:ascii="Times New Roman" w:hAnsi="Times New Roman" w:cs="Times New Roman"/>
          <w:b/>
          <w:lang w:eastAsia="en-US"/>
        </w:rPr>
        <w:t xml:space="preserve">he </w:t>
      </w:r>
      <w:r w:rsidR="00677DA0">
        <w:rPr>
          <w:rFonts w:ascii="Times New Roman" w:hAnsi="Times New Roman" w:cs="Times New Roman"/>
          <w:b/>
          <w:lang w:eastAsia="en-US"/>
        </w:rPr>
        <w:t>LTE relaxed monitoring criteria in TS 36.304 is mainly used</w:t>
      </w:r>
      <w:r w:rsidR="00C448B0">
        <w:rPr>
          <w:rFonts w:ascii="Times New Roman" w:hAnsi="Times New Roman" w:cs="Times New Roman"/>
          <w:b/>
          <w:lang w:eastAsia="en-US"/>
        </w:rPr>
        <w:t xml:space="preserve"> to determine whether an UE is</w:t>
      </w:r>
      <w:r w:rsidR="00677DA0">
        <w:rPr>
          <w:rFonts w:ascii="Times New Roman" w:hAnsi="Times New Roman" w:cs="Times New Roman"/>
          <w:b/>
          <w:lang w:eastAsia="en-US"/>
        </w:rPr>
        <w:t xml:space="preserve"> stationary or not</w:t>
      </w:r>
      <w:r w:rsidRPr="006F2A1A">
        <w:rPr>
          <w:rFonts w:ascii="Times New Roman" w:hAnsi="Times New Roman" w:cs="Times New Roman"/>
          <w:b/>
          <w:lang w:eastAsia="en-US"/>
        </w:rPr>
        <w:t>.</w:t>
      </w:r>
    </w:p>
    <w:p w14:paraId="387E37CD" w14:textId="02FB769A" w:rsidR="00102A86" w:rsidRPr="00C53CA2" w:rsidRDefault="00EE294B" w:rsidP="00102A86">
      <w:pPr>
        <w:rPr>
          <w:rFonts w:ascii="Times New Roman" w:hAnsi="Times New Roman" w:cs="Times New Roman"/>
        </w:rPr>
      </w:pPr>
      <w:r>
        <w:rPr>
          <w:rFonts w:ascii="Times New Roman" w:hAnsi="Times New Roman"/>
        </w:rPr>
        <w:t xml:space="preserve">On the other hand, </w:t>
      </w:r>
      <w:r w:rsidR="003A2272">
        <w:rPr>
          <w:rFonts w:ascii="Times New Roman" w:hAnsi="Times New Roman"/>
        </w:rPr>
        <w:t xml:space="preserve">the criterion </w:t>
      </w:r>
      <w:r w:rsidR="00C17DB4">
        <w:rPr>
          <w:rFonts w:ascii="Times New Roman" w:hAnsi="Times New Roman"/>
        </w:rPr>
        <w:t>agreed in RAN2#107 for determining whether an UE is at cell edge or not</w:t>
      </w:r>
      <w:r w:rsidR="00C47592">
        <w:rPr>
          <w:rFonts w:ascii="Times New Roman" w:hAnsi="Times New Roman"/>
        </w:rPr>
        <w:t xml:space="preserve"> is very similar to the measurement rule specified in TS 38.304 (section 5.2.4.2)</w:t>
      </w:r>
      <w:r w:rsidR="00C53CA2">
        <w:rPr>
          <w:rFonts w:ascii="Times New Roman" w:hAnsi="Times New Roman"/>
        </w:rPr>
        <w:t xml:space="preserve">, in which if the serving cell </w:t>
      </w:r>
      <w:r w:rsidR="00C53CA2" w:rsidRPr="00C53CA2">
        <w:rPr>
          <w:rFonts w:ascii="Times New Roman" w:hAnsi="Times New Roman" w:cs="Times New Roman"/>
        </w:rPr>
        <w:t xml:space="preserve">fulfil </w:t>
      </w:r>
      <w:proofErr w:type="spellStart"/>
      <w:r w:rsidR="00C53CA2" w:rsidRPr="00C53CA2">
        <w:rPr>
          <w:rFonts w:ascii="Times New Roman" w:hAnsi="Times New Roman" w:cs="Times New Roman"/>
        </w:rPr>
        <w:t>Srxlev</w:t>
      </w:r>
      <w:proofErr w:type="spellEnd"/>
      <w:r w:rsidR="00C53CA2" w:rsidRPr="00C53CA2">
        <w:rPr>
          <w:rFonts w:ascii="Times New Roman" w:hAnsi="Times New Roman" w:cs="Times New Roman"/>
          <w:vertAlign w:val="subscript"/>
        </w:rPr>
        <w:t xml:space="preserve"> </w:t>
      </w:r>
      <w:r w:rsidR="00C53CA2" w:rsidRPr="00C53CA2">
        <w:rPr>
          <w:rFonts w:ascii="Times New Roman" w:hAnsi="Times New Roman" w:cs="Times New Roman"/>
        </w:rPr>
        <w:t xml:space="preserve">&gt; </w:t>
      </w:r>
      <w:proofErr w:type="spellStart"/>
      <w:r w:rsidR="00C53CA2" w:rsidRPr="00C53CA2">
        <w:rPr>
          <w:rFonts w:ascii="Times New Roman" w:hAnsi="Times New Roman" w:cs="Times New Roman"/>
        </w:rPr>
        <w:t>S</w:t>
      </w:r>
      <w:r w:rsidR="00C53CA2" w:rsidRPr="00C53CA2">
        <w:rPr>
          <w:rFonts w:ascii="Times New Roman" w:hAnsi="Times New Roman" w:cs="Times New Roman"/>
          <w:vertAlign w:val="subscript"/>
        </w:rPr>
        <w:t>IntraSearchP</w:t>
      </w:r>
      <w:proofErr w:type="spellEnd"/>
      <w:r w:rsidR="00C53CA2" w:rsidRPr="00C53CA2">
        <w:rPr>
          <w:rFonts w:ascii="Times New Roman" w:hAnsi="Times New Roman" w:cs="Times New Roman"/>
        </w:rPr>
        <w:t xml:space="preserve"> and </w:t>
      </w:r>
      <w:proofErr w:type="spellStart"/>
      <w:r w:rsidR="00C53CA2" w:rsidRPr="00C53CA2">
        <w:rPr>
          <w:rFonts w:ascii="Times New Roman" w:hAnsi="Times New Roman" w:cs="Times New Roman"/>
        </w:rPr>
        <w:t>Squal</w:t>
      </w:r>
      <w:proofErr w:type="spellEnd"/>
      <w:r w:rsidR="00C53CA2" w:rsidRPr="00C53CA2">
        <w:rPr>
          <w:rFonts w:ascii="Times New Roman" w:hAnsi="Times New Roman" w:cs="Times New Roman"/>
        </w:rPr>
        <w:t xml:space="preserve"> &gt; </w:t>
      </w:r>
      <w:proofErr w:type="spellStart"/>
      <w:r w:rsidR="00C53CA2" w:rsidRPr="00C53CA2">
        <w:rPr>
          <w:rFonts w:ascii="Times New Roman" w:hAnsi="Times New Roman" w:cs="Times New Roman"/>
        </w:rPr>
        <w:t>S</w:t>
      </w:r>
      <w:r w:rsidR="00C53CA2" w:rsidRPr="00C53CA2">
        <w:rPr>
          <w:rFonts w:ascii="Times New Roman" w:hAnsi="Times New Roman" w:cs="Times New Roman"/>
          <w:vertAlign w:val="subscript"/>
        </w:rPr>
        <w:t>IntraSearchQ</w:t>
      </w:r>
      <w:proofErr w:type="spellEnd"/>
      <w:r w:rsidR="00C53CA2">
        <w:rPr>
          <w:rFonts w:ascii="Times New Roman" w:hAnsi="Times New Roman" w:cs="Times New Roman"/>
        </w:rPr>
        <w:t xml:space="preserve">, </w:t>
      </w:r>
      <w:r w:rsidR="00C53CA2" w:rsidRPr="00C53CA2">
        <w:rPr>
          <w:rFonts w:ascii="Times New Roman" w:hAnsi="Times New Roman" w:cs="Times New Roman"/>
        </w:rPr>
        <w:t>the UE may choose not to perform intra-frequency measurements</w:t>
      </w:r>
      <w:r w:rsidR="00C53CA2">
        <w:rPr>
          <w:rFonts w:ascii="Times New Roman" w:hAnsi="Times New Roman" w:cs="Times New Roman"/>
        </w:rPr>
        <w:t xml:space="preserve">. </w:t>
      </w:r>
      <w:r w:rsidR="00B720F0">
        <w:rPr>
          <w:rFonts w:ascii="Times New Roman" w:hAnsi="Times New Roman" w:cs="Times New Roman"/>
        </w:rPr>
        <w:t xml:space="preserve">Similar rule also applies to the inter-frequency measurement case but with different threshold values </w:t>
      </w:r>
      <w:r w:rsidR="00B720F0" w:rsidRPr="00E112B1">
        <w:rPr>
          <w:rFonts w:ascii="Times New Roman" w:hAnsi="Times New Roman" w:cs="Times New Roman"/>
        </w:rPr>
        <w:t>(</w:t>
      </w:r>
      <w:proofErr w:type="spellStart"/>
      <w:r w:rsidR="00E112B1" w:rsidRPr="00E112B1">
        <w:rPr>
          <w:rFonts w:ascii="Times New Roman" w:hAnsi="Times New Roman" w:cs="Times New Roman"/>
        </w:rPr>
        <w:t>S</w:t>
      </w:r>
      <w:r w:rsidR="00E112B1" w:rsidRPr="00E112B1">
        <w:rPr>
          <w:rFonts w:ascii="Times New Roman" w:hAnsi="Times New Roman" w:cs="Times New Roman"/>
          <w:vertAlign w:val="subscript"/>
        </w:rPr>
        <w:t>nonIntraSearchP</w:t>
      </w:r>
      <w:proofErr w:type="spellEnd"/>
      <w:r w:rsidR="00E112B1" w:rsidRPr="00E112B1">
        <w:rPr>
          <w:rFonts w:ascii="Times New Roman" w:hAnsi="Times New Roman" w:cs="Times New Roman"/>
        </w:rPr>
        <w:t xml:space="preserve"> and </w:t>
      </w:r>
      <w:proofErr w:type="spellStart"/>
      <w:r w:rsidR="00E112B1" w:rsidRPr="00E112B1">
        <w:rPr>
          <w:rFonts w:ascii="Times New Roman" w:hAnsi="Times New Roman" w:cs="Times New Roman"/>
        </w:rPr>
        <w:t>S</w:t>
      </w:r>
      <w:r w:rsidR="00E112B1" w:rsidRPr="00E112B1">
        <w:rPr>
          <w:rFonts w:ascii="Times New Roman" w:hAnsi="Times New Roman" w:cs="Times New Roman"/>
          <w:vertAlign w:val="subscript"/>
        </w:rPr>
        <w:t>nonIntraSearchQ</w:t>
      </w:r>
      <w:proofErr w:type="spellEnd"/>
      <w:r w:rsidR="00B720F0" w:rsidRPr="00E112B1">
        <w:rPr>
          <w:rFonts w:ascii="Times New Roman" w:hAnsi="Times New Roman" w:cs="Times New Roman"/>
        </w:rPr>
        <w:t>)</w:t>
      </w:r>
      <w:r w:rsidR="00E112B1">
        <w:rPr>
          <w:rFonts w:ascii="Times New Roman" w:hAnsi="Times New Roman" w:cs="Times New Roman"/>
        </w:rPr>
        <w:t xml:space="preserve">. </w:t>
      </w:r>
    </w:p>
    <w:p w14:paraId="464A7033" w14:textId="04019265" w:rsidR="003445B6" w:rsidRDefault="00375FE0" w:rsidP="00102A86">
      <w:pPr>
        <w:rPr>
          <w:rFonts w:ascii="Times New Roman" w:hAnsi="Times New Roman"/>
        </w:rPr>
      </w:pPr>
      <w:r>
        <w:rPr>
          <w:rFonts w:ascii="Times New Roman" w:hAnsi="Times New Roman"/>
        </w:rPr>
        <w:t>It has been pointed out in the WID [</w:t>
      </w:r>
      <w:r w:rsidR="00C4360E">
        <w:rPr>
          <w:rFonts w:ascii="Times New Roman" w:hAnsi="Times New Roman"/>
        </w:rPr>
        <w:t>3</w:t>
      </w:r>
      <w:r>
        <w:rPr>
          <w:rFonts w:ascii="Times New Roman" w:hAnsi="Times New Roman"/>
        </w:rPr>
        <w:t xml:space="preserve">] that </w:t>
      </w:r>
      <w:r w:rsidR="008E0BBB">
        <w:rPr>
          <w:rFonts w:ascii="Times New Roman" w:hAnsi="Times New Roman"/>
        </w:rPr>
        <w:t xml:space="preserve">any relaxation mechanism to relax the intra-frequency and inter-frequency measurement must have minimal impact to the mobility performance. </w:t>
      </w:r>
      <w:r w:rsidR="00973DF9">
        <w:rPr>
          <w:rFonts w:ascii="Times New Roman" w:hAnsi="Times New Roman"/>
        </w:rPr>
        <w:t>However, according to the current agreement</w:t>
      </w:r>
      <w:r w:rsidR="00837322">
        <w:rPr>
          <w:rFonts w:ascii="Times New Roman" w:hAnsi="Times New Roman"/>
        </w:rPr>
        <w:t>s</w:t>
      </w:r>
      <w:r w:rsidR="00973DF9">
        <w:rPr>
          <w:rFonts w:ascii="Times New Roman" w:hAnsi="Times New Roman"/>
        </w:rPr>
        <w:t>, a</w:t>
      </w:r>
      <w:r w:rsidR="00981EA7">
        <w:rPr>
          <w:rFonts w:ascii="Times New Roman" w:hAnsi="Times New Roman"/>
        </w:rPr>
        <w:t>n</w:t>
      </w:r>
      <w:r w:rsidR="00973DF9">
        <w:rPr>
          <w:rFonts w:ascii="Times New Roman" w:hAnsi="Times New Roman"/>
        </w:rPr>
        <w:t xml:space="preserve"> UE </w:t>
      </w:r>
      <w:r w:rsidR="00BF5C11">
        <w:rPr>
          <w:rFonts w:ascii="Times New Roman" w:hAnsi="Times New Roman"/>
        </w:rPr>
        <w:t>with high mobility</w:t>
      </w:r>
      <w:r w:rsidR="00973DF9">
        <w:rPr>
          <w:rFonts w:ascii="Times New Roman" w:hAnsi="Times New Roman"/>
        </w:rPr>
        <w:t xml:space="preserve"> </w:t>
      </w:r>
      <w:r w:rsidR="00AC019E">
        <w:rPr>
          <w:rFonts w:ascii="Times New Roman" w:hAnsi="Times New Roman"/>
        </w:rPr>
        <w:t>is allowed to</w:t>
      </w:r>
      <w:r w:rsidR="00973DF9">
        <w:rPr>
          <w:rFonts w:ascii="Times New Roman" w:hAnsi="Times New Roman"/>
        </w:rPr>
        <w:t xml:space="preserve"> skip the in</w:t>
      </w:r>
      <w:r w:rsidR="00AC019E">
        <w:rPr>
          <w:rFonts w:ascii="Times New Roman" w:hAnsi="Times New Roman"/>
        </w:rPr>
        <w:t>tra/inter-frequency measurement</w:t>
      </w:r>
      <w:r w:rsidR="008A0899">
        <w:rPr>
          <w:rFonts w:ascii="Times New Roman" w:hAnsi="Times New Roman"/>
        </w:rPr>
        <w:t xml:space="preserve"> if serving cell’</w:t>
      </w:r>
      <w:r w:rsidR="0070219A">
        <w:rPr>
          <w:rFonts w:ascii="Times New Roman" w:hAnsi="Times New Roman"/>
        </w:rPr>
        <w:t xml:space="preserve">s RSRP/RSRQ/SINR </w:t>
      </w:r>
      <w:r w:rsidR="008A0899">
        <w:rPr>
          <w:rFonts w:ascii="Times New Roman" w:hAnsi="Times New Roman"/>
        </w:rPr>
        <w:t xml:space="preserve">is above </w:t>
      </w:r>
      <w:r w:rsidR="00981EA7">
        <w:rPr>
          <w:rFonts w:ascii="Times New Roman" w:hAnsi="Times New Roman"/>
        </w:rPr>
        <w:t>the</w:t>
      </w:r>
      <w:r w:rsidR="008A0899">
        <w:rPr>
          <w:rFonts w:ascii="Times New Roman" w:hAnsi="Times New Roman"/>
        </w:rPr>
        <w:t xml:space="preserve"> threshold</w:t>
      </w:r>
      <w:r w:rsidR="00AB232B">
        <w:rPr>
          <w:rFonts w:ascii="Times New Roman" w:hAnsi="Times New Roman"/>
        </w:rPr>
        <w:t xml:space="preserve"> </w:t>
      </w:r>
      <w:r w:rsidR="008718CE">
        <w:rPr>
          <w:rFonts w:ascii="Times New Roman" w:hAnsi="Times New Roman"/>
        </w:rPr>
        <w:t>S</w:t>
      </w:r>
      <w:r w:rsidR="008718CE" w:rsidRPr="008718CE">
        <w:rPr>
          <w:rFonts w:ascii="Times New Roman" w:hAnsi="Times New Roman"/>
          <w:vertAlign w:val="subscript"/>
        </w:rPr>
        <w:t>1</w:t>
      </w:r>
      <w:r w:rsidR="008718CE">
        <w:rPr>
          <w:rFonts w:ascii="Times New Roman" w:hAnsi="Times New Roman"/>
        </w:rPr>
        <w:t xml:space="preserve"> </w:t>
      </w:r>
      <w:r w:rsidR="00AB232B">
        <w:rPr>
          <w:rFonts w:ascii="Times New Roman" w:hAnsi="Times New Roman"/>
        </w:rPr>
        <w:t>(as shown in Figure 1)</w:t>
      </w:r>
      <w:r w:rsidR="00FD4ECA">
        <w:rPr>
          <w:rFonts w:ascii="Times New Roman" w:hAnsi="Times New Roman"/>
        </w:rPr>
        <w:t>.</w:t>
      </w:r>
      <w:r w:rsidR="00AC019E">
        <w:rPr>
          <w:rFonts w:ascii="Times New Roman" w:hAnsi="Times New Roman"/>
        </w:rPr>
        <w:t xml:space="preserve"> </w:t>
      </w:r>
      <w:r w:rsidR="00FD4ECA">
        <w:rPr>
          <w:rFonts w:ascii="Times New Roman" w:hAnsi="Times New Roman"/>
        </w:rPr>
        <w:t xml:space="preserve">We think </w:t>
      </w:r>
      <w:r w:rsidR="00AC019E">
        <w:rPr>
          <w:rFonts w:ascii="Times New Roman" w:hAnsi="Times New Roman"/>
        </w:rPr>
        <w:t xml:space="preserve">this </w:t>
      </w:r>
      <w:r w:rsidR="00A41699">
        <w:rPr>
          <w:rFonts w:ascii="Times New Roman" w:hAnsi="Times New Roman"/>
        </w:rPr>
        <w:t>may</w:t>
      </w:r>
      <w:r w:rsidR="00AC019E">
        <w:rPr>
          <w:rFonts w:ascii="Times New Roman" w:hAnsi="Times New Roman"/>
        </w:rPr>
        <w:t xml:space="preserve"> impact the mobility performance in a negative way as the UE </w:t>
      </w:r>
      <w:r w:rsidR="00862DDD">
        <w:rPr>
          <w:rFonts w:ascii="Times New Roman" w:hAnsi="Times New Roman"/>
        </w:rPr>
        <w:t>may</w:t>
      </w:r>
      <w:r w:rsidR="00AC019E">
        <w:rPr>
          <w:rFonts w:ascii="Times New Roman" w:hAnsi="Times New Roman"/>
        </w:rPr>
        <w:t xml:space="preserve"> soon </w:t>
      </w:r>
      <w:r w:rsidR="008A7CD6">
        <w:rPr>
          <w:rFonts w:ascii="Times New Roman" w:hAnsi="Times New Roman"/>
        </w:rPr>
        <w:t>move</w:t>
      </w:r>
      <w:r w:rsidR="00F96D27">
        <w:rPr>
          <w:rFonts w:ascii="Times New Roman" w:hAnsi="Times New Roman"/>
        </w:rPr>
        <w:t xml:space="preserve"> to the cell edge but have</w:t>
      </w:r>
      <w:r w:rsidR="00AC019E">
        <w:rPr>
          <w:rFonts w:ascii="Times New Roman" w:hAnsi="Times New Roman"/>
        </w:rPr>
        <w:t xml:space="preserve"> not start</w:t>
      </w:r>
      <w:r w:rsidR="00FE0A19">
        <w:rPr>
          <w:rFonts w:ascii="Times New Roman" w:hAnsi="Times New Roman"/>
        </w:rPr>
        <w:t>ed</w:t>
      </w:r>
      <w:r w:rsidR="00AC019E">
        <w:rPr>
          <w:rFonts w:ascii="Times New Roman" w:hAnsi="Times New Roman"/>
        </w:rPr>
        <w:t xml:space="preserve"> performing the neighbour cell measurement</w:t>
      </w:r>
      <w:r w:rsidR="00FA247C">
        <w:rPr>
          <w:rFonts w:ascii="Times New Roman" w:hAnsi="Times New Roman"/>
        </w:rPr>
        <w:t xml:space="preserve">. </w:t>
      </w:r>
      <w:r w:rsidR="007E3090">
        <w:rPr>
          <w:rFonts w:ascii="Times New Roman" w:hAnsi="Times New Roman"/>
        </w:rPr>
        <w:t xml:space="preserve">As a result, </w:t>
      </w:r>
      <w:r w:rsidR="00FF2329">
        <w:rPr>
          <w:rFonts w:ascii="Times New Roman" w:hAnsi="Times New Roman"/>
        </w:rPr>
        <w:t xml:space="preserve">the UE may not be able to perform the cell reselection and camp to a proper cell in time. </w:t>
      </w:r>
      <w:r w:rsidR="003B1DBD">
        <w:rPr>
          <w:rFonts w:ascii="Times New Roman" w:hAnsi="Times New Roman"/>
        </w:rPr>
        <w:t xml:space="preserve">Considering the cell size is usually small in NR FR2, this situation is more likely to happen </w:t>
      </w:r>
      <w:r w:rsidR="00511033">
        <w:rPr>
          <w:rFonts w:ascii="Times New Roman" w:hAnsi="Times New Roman"/>
        </w:rPr>
        <w:t>compare</w:t>
      </w:r>
      <w:r w:rsidR="003B1DBD">
        <w:rPr>
          <w:rFonts w:ascii="Times New Roman" w:hAnsi="Times New Roman"/>
        </w:rPr>
        <w:t xml:space="preserve"> to </w:t>
      </w:r>
      <w:r w:rsidR="00436B6E">
        <w:rPr>
          <w:rFonts w:ascii="Times New Roman" w:hAnsi="Times New Roman"/>
        </w:rPr>
        <w:t xml:space="preserve">the </w:t>
      </w:r>
      <w:r w:rsidR="00511033">
        <w:rPr>
          <w:rFonts w:ascii="Times New Roman" w:hAnsi="Times New Roman"/>
        </w:rPr>
        <w:t xml:space="preserve">LTE </w:t>
      </w:r>
      <w:r w:rsidR="00EF71DB">
        <w:rPr>
          <w:rFonts w:ascii="Times New Roman" w:hAnsi="Times New Roman"/>
        </w:rPr>
        <w:t>case</w:t>
      </w:r>
      <w:r w:rsidR="009069D8">
        <w:rPr>
          <w:rFonts w:ascii="Times New Roman" w:hAnsi="Times New Roman"/>
        </w:rPr>
        <w:t>.</w:t>
      </w:r>
    </w:p>
    <w:p w14:paraId="7586DDE5" w14:textId="77777777" w:rsidR="00452462" w:rsidRDefault="00452462" w:rsidP="00452462">
      <w:pPr>
        <w:jc w:val="center"/>
        <w:rPr>
          <w:rFonts w:ascii="Times New Roman" w:hAnsi="Times New Roman"/>
          <w:b/>
          <w:sz w:val="18"/>
          <w:szCs w:val="18"/>
        </w:rPr>
      </w:pPr>
      <w:r>
        <w:object w:dxaOrig="5709" w:dyaOrig="4835" w14:anchorId="1861A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pt;height:242.4pt" o:ole="">
            <v:imagedata r:id="rId13" o:title=""/>
          </v:shape>
          <o:OLEObject Type="Embed" ProgID="Visio.Drawing.15" ShapeID="_x0000_i1025" DrawAspect="Content" ObjectID="_1634648665" r:id="rId14"/>
        </w:object>
      </w:r>
    </w:p>
    <w:p w14:paraId="51FB8FE7" w14:textId="77777777" w:rsidR="00452462" w:rsidRDefault="00452462" w:rsidP="00452462">
      <w:pPr>
        <w:jc w:val="center"/>
        <w:rPr>
          <w:rFonts w:ascii="Times New Roman" w:hAnsi="Times New Roman"/>
        </w:rPr>
      </w:pPr>
      <w:r w:rsidRPr="009C290F">
        <w:rPr>
          <w:rFonts w:ascii="Times New Roman" w:hAnsi="Times New Roman"/>
          <w:sz w:val="20"/>
          <w:szCs w:val="20"/>
        </w:rPr>
        <w:t xml:space="preserve">Figure 1. </w:t>
      </w:r>
      <w:r>
        <w:rPr>
          <w:rFonts w:ascii="Times New Roman" w:hAnsi="Times New Roman"/>
          <w:sz w:val="20"/>
          <w:szCs w:val="20"/>
        </w:rPr>
        <w:t>The UE categories (based on agreement#2) and the corresponding actions for neighbour-cell measurement.</w:t>
      </w:r>
    </w:p>
    <w:p w14:paraId="306B1DC4" w14:textId="77777777" w:rsidR="00452462" w:rsidRPr="00452462" w:rsidRDefault="00452462" w:rsidP="00102A86">
      <w:pPr>
        <w:rPr>
          <w:rFonts w:ascii="Times New Roman" w:hAnsi="Times New Roman"/>
        </w:rPr>
      </w:pPr>
    </w:p>
    <w:p w14:paraId="0214170B" w14:textId="7A5E72AE" w:rsidR="00C06979" w:rsidRPr="008E0F27" w:rsidRDefault="003F566F" w:rsidP="008E0F27">
      <w:pPr>
        <w:rPr>
          <w:rFonts w:ascii="Times New Roman" w:eastAsia="MS Mincho" w:hAnsi="Times New Roman"/>
          <w:b/>
          <w:sz w:val="18"/>
          <w:szCs w:val="18"/>
        </w:rPr>
      </w:pPr>
      <w:r w:rsidRPr="006F2A1A">
        <w:rPr>
          <w:rFonts w:ascii="Times New Roman" w:hAnsi="Times New Roman" w:cs="Times New Roman"/>
          <w:b/>
          <w:lang w:eastAsia="en-US"/>
        </w:rPr>
        <w:t xml:space="preserve">Observation </w:t>
      </w:r>
      <w:r w:rsidR="00224EEF">
        <w:rPr>
          <w:rFonts w:ascii="Times New Roman" w:hAnsi="Times New Roman" w:cs="Times New Roman"/>
          <w:b/>
          <w:lang w:eastAsia="en-US"/>
        </w:rPr>
        <w:t>2</w:t>
      </w:r>
      <w:r w:rsidRPr="006F2A1A">
        <w:rPr>
          <w:rFonts w:ascii="Times New Roman" w:hAnsi="Times New Roman" w:cs="Times New Roman"/>
          <w:b/>
          <w:lang w:eastAsia="en-US"/>
        </w:rPr>
        <w:t xml:space="preserve">: </w:t>
      </w:r>
      <w:r w:rsidR="00F23889">
        <w:rPr>
          <w:rFonts w:ascii="Times New Roman" w:hAnsi="Times New Roman" w:cs="Times New Roman"/>
          <w:b/>
          <w:lang w:eastAsia="en-US"/>
        </w:rPr>
        <w:t xml:space="preserve">Allowing a high-mobility UE to skip the neighbour cell </w:t>
      </w:r>
      <w:r w:rsidR="006A4483">
        <w:rPr>
          <w:rFonts w:ascii="Times New Roman" w:hAnsi="Times New Roman" w:cs="Times New Roman"/>
          <w:b/>
          <w:lang w:eastAsia="en-US"/>
        </w:rPr>
        <w:t xml:space="preserve">measurement can negatively </w:t>
      </w:r>
      <w:r w:rsidR="00F23889">
        <w:rPr>
          <w:rFonts w:ascii="Times New Roman" w:hAnsi="Times New Roman" w:cs="Times New Roman"/>
          <w:b/>
          <w:lang w:eastAsia="en-US"/>
        </w:rPr>
        <w:t>impact the UE mobility performance.</w:t>
      </w:r>
    </w:p>
    <w:p w14:paraId="5365FF94" w14:textId="4B0AA31A" w:rsidR="00364A5B" w:rsidRDefault="009D1C6B" w:rsidP="00364A5B">
      <w:pPr>
        <w:pStyle w:val="BodyText"/>
        <w:rPr>
          <w:rFonts w:ascii="Times New Roman" w:hAnsi="Times New Roman" w:cs="Times New Roman"/>
          <w:lang w:eastAsia="en-US"/>
        </w:rPr>
      </w:pPr>
      <w:r w:rsidRPr="009D1C6B">
        <w:rPr>
          <w:rFonts w:ascii="Times New Roman" w:hAnsi="Times New Roman" w:cs="Times New Roman"/>
          <w:lang w:eastAsia="en-US"/>
        </w:rPr>
        <w:t>To avoid having negative im</w:t>
      </w:r>
      <w:r>
        <w:rPr>
          <w:rFonts w:ascii="Times New Roman" w:hAnsi="Times New Roman" w:cs="Times New Roman"/>
          <w:lang w:eastAsia="en-US"/>
        </w:rPr>
        <w:t xml:space="preserve">pact to </w:t>
      </w:r>
      <w:r w:rsidR="00E33569">
        <w:rPr>
          <w:rFonts w:ascii="Times New Roman" w:hAnsi="Times New Roman" w:cs="Times New Roman"/>
          <w:lang w:eastAsia="en-US"/>
        </w:rPr>
        <w:t xml:space="preserve">the </w:t>
      </w:r>
      <w:r>
        <w:rPr>
          <w:rFonts w:ascii="Times New Roman" w:hAnsi="Times New Roman" w:cs="Times New Roman"/>
          <w:lang w:eastAsia="en-US"/>
        </w:rPr>
        <w:t>UE mobility performance, first of all the</w:t>
      </w:r>
      <w:r w:rsidR="00471AC0">
        <w:rPr>
          <w:rFonts w:ascii="Times New Roman" w:hAnsi="Times New Roman" w:cs="Times New Roman"/>
          <w:lang w:eastAsia="en-US"/>
        </w:rPr>
        <w:t>re should be a way to identify whether an</w:t>
      </w:r>
      <w:r>
        <w:rPr>
          <w:rFonts w:ascii="Times New Roman" w:hAnsi="Times New Roman" w:cs="Times New Roman"/>
          <w:lang w:eastAsia="en-US"/>
        </w:rPr>
        <w:t xml:space="preserve"> UE </w:t>
      </w:r>
      <w:r w:rsidR="00471AC0">
        <w:rPr>
          <w:rFonts w:ascii="Times New Roman" w:hAnsi="Times New Roman" w:cs="Times New Roman"/>
          <w:lang w:eastAsia="en-US"/>
        </w:rPr>
        <w:t xml:space="preserve">is </w:t>
      </w:r>
      <w:r w:rsidR="00B010D7">
        <w:rPr>
          <w:rFonts w:ascii="Times New Roman" w:hAnsi="Times New Roman" w:cs="Times New Roman"/>
          <w:lang w:eastAsia="en-US"/>
        </w:rPr>
        <w:t>a high-mobility UE or not</w:t>
      </w:r>
      <w:r w:rsidR="0023737F">
        <w:rPr>
          <w:rFonts w:ascii="Times New Roman" w:hAnsi="Times New Roman" w:cs="Times New Roman"/>
          <w:lang w:eastAsia="en-US"/>
        </w:rPr>
        <w:t>,</w:t>
      </w:r>
      <w:r>
        <w:rPr>
          <w:rFonts w:ascii="Times New Roman" w:hAnsi="Times New Roman" w:cs="Times New Roman"/>
          <w:lang w:eastAsia="en-US"/>
        </w:rPr>
        <w:t xml:space="preserve"> </w:t>
      </w:r>
      <w:r w:rsidR="0023737F">
        <w:rPr>
          <w:rFonts w:ascii="Times New Roman" w:hAnsi="Times New Roman" w:cs="Times New Roman"/>
          <w:lang w:eastAsia="en-US"/>
        </w:rPr>
        <w:t>and t</w:t>
      </w:r>
      <w:r w:rsidR="006F271B">
        <w:rPr>
          <w:rFonts w:ascii="Times New Roman" w:hAnsi="Times New Roman" w:cs="Times New Roman"/>
          <w:lang w:eastAsia="en-US"/>
        </w:rPr>
        <w:t xml:space="preserve">he legacy UE mobility state </w:t>
      </w:r>
      <w:r w:rsidR="0023737F">
        <w:rPr>
          <w:rFonts w:ascii="Times New Roman" w:hAnsi="Times New Roman" w:cs="Times New Roman"/>
          <w:lang w:eastAsia="en-US"/>
        </w:rPr>
        <w:t xml:space="preserve">detection criteria specified in TS 38.304 can be used for this purpose. </w:t>
      </w:r>
      <w:r w:rsidR="00CC44DC">
        <w:rPr>
          <w:rFonts w:ascii="Times New Roman" w:hAnsi="Times New Roman" w:cs="Times New Roman"/>
          <w:lang w:eastAsia="en-US"/>
        </w:rPr>
        <w:t xml:space="preserve">A further enhancement such as the mobility state is determined based on the number of beam changes instead of number of cell reselections can be considered. </w:t>
      </w:r>
      <w:bookmarkEnd w:id="1"/>
    </w:p>
    <w:p w14:paraId="02209FE9" w14:textId="25888E1A" w:rsidR="00CA2C82" w:rsidRDefault="00364A5B" w:rsidP="00364A5B">
      <w:pPr>
        <w:pStyle w:val="BodyText"/>
        <w:rPr>
          <w:rFonts w:ascii="Times New Roman" w:hAnsi="Times New Roman" w:cs="Times New Roman"/>
          <w:b/>
          <w:lang w:eastAsia="en-US"/>
        </w:rPr>
      </w:pPr>
      <w:r w:rsidRPr="006F2A1A">
        <w:rPr>
          <w:rFonts w:ascii="Times New Roman" w:hAnsi="Times New Roman" w:cs="Times New Roman"/>
          <w:b/>
          <w:lang w:eastAsia="en-US"/>
        </w:rPr>
        <w:t xml:space="preserve">Proposal 1: </w:t>
      </w:r>
      <w:r w:rsidR="002D4C97">
        <w:rPr>
          <w:rFonts w:ascii="Times New Roman" w:hAnsi="Times New Roman" w:cs="Times New Roman"/>
          <w:b/>
          <w:lang w:eastAsia="en-US"/>
        </w:rPr>
        <w:t xml:space="preserve">The UE mobility state </w:t>
      </w:r>
      <w:r w:rsidR="00F26DBB">
        <w:rPr>
          <w:rFonts w:ascii="Times New Roman" w:hAnsi="Times New Roman" w:cs="Times New Roman"/>
          <w:b/>
          <w:lang w:eastAsia="en-US"/>
        </w:rPr>
        <w:t>(high/medium/normal-mobility)</w:t>
      </w:r>
      <w:r w:rsidR="002D4C97">
        <w:rPr>
          <w:rFonts w:ascii="Times New Roman" w:hAnsi="Times New Roman" w:cs="Times New Roman"/>
          <w:b/>
          <w:lang w:eastAsia="en-US"/>
        </w:rPr>
        <w:t xml:space="preserve"> </w:t>
      </w:r>
      <w:r w:rsidR="0064668B">
        <w:rPr>
          <w:rFonts w:ascii="Times New Roman" w:hAnsi="Times New Roman" w:cs="Times New Roman"/>
          <w:b/>
          <w:lang w:eastAsia="en-US"/>
        </w:rPr>
        <w:t xml:space="preserve">is taken into account </w:t>
      </w:r>
      <w:r w:rsidR="00F8284A">
        <w:rPr>
          <w:rFonts w:ascii="Times New Roman" w:hAnsi="Times New Roman" w:cs="Times New Roman"/>
          <w:b/>
          <w:lang w:eastAsia="en-US"/>
        </w:rPr>
        <w:t>in</w:t>
      </w:r>
      <w:r w:rsidR="00F26DBB">
        <w:rPr>
          <w:rFonts w:ascii="Times New Roman" w:hAnsi="Times New Roman" w:cs="Times New Roman"/>
          <w:b/>
          <w:lang w:eastAsia="en-US"/>
        </w:rPr>
        <w:t xml:space="preserve"> </w:t>
      </w:r>
      <w:r w:rsidR="00A64054">
        <w:rPr>
          <w:rFonts w:ascii="Times New Roman" w:hAnsi="Times New Roman" w:cs="Times New Roman"/>
          <w:b/>
          <w:lang w:eastAsia="en-US"/>
        </w:rPr>
        <w:t>evaluating</w:t>
      </w:r>
      <w:r w:rsidR="00BB7EC1">
        <w:rPr>
          <w:rFonts w:ascii="Times New Roman" w:hAnsi="Times New Roman" w:cs="Times New Roman"/>
          <w:b/>
          <w:lang w:eastAsia="en-US"/>
        </w:rPr>
        <w:t xml:space="preserve"> </w:t>
      </w:r>
      <w:proofErr w:type="gramStart"/>
      <w:r w:rsidR="00F26DBB">
        <w:rPr>
          <w:rFonts w:ascii="Times New Roman" w:hAnsi="Times New Roman" w:cs="Times New Roman"/>
          <w:b/>
          <w:lang w:eastAsia="en-US"/>
        </w:rPr>
        <w:t>the</w:t>
      </w:r>
      <w:proofErr w:type="gramEnd"/>
      <w:r w:rsidR="00F26DBB">
        <w:rPr>
          <w:rFonts w:ascii="Times New Roman" w:hAnsi="Times New Roman" w:cs="Times New Roman"/>
          <w:b/>
          <w:lang w:eastAsia="en-US"/>
        </w:rPr>
        <w:t xml:space="preserve"> measurement relaxation criteria</w:t>
      </w:r>
      <w:r>
        <w:rPr>
          <w:rFonts w:ascii="Times New Roman" w:hAnsi="Times New Roman" w:cs="Times New Roman"/>
          <w:b/>
          <w:lang w:eastAsia="en-US"/>
        </w:rPr>
        <w:t>.</w:t>
      </w:r>
    </w:p>
    <w:p w14:paraId="34104BC5" w14:textId="490F4445" w:rsidR="008B5C67" w:rsidRPr="00364A5B" w:rsidRDefault="006D6BC9" w:rsidP="00364A5B">
      <w:pPr>
        <w:pStyle w:val="BodyText"/>
        <w:rPr>
          <w:rFonts w:ascii="Times New Roman" w:hAnsi="Times New Roman" w:cs="Times New Roman"/>
          <w:lang w:eastAsia="en-US"/>
        </w:rPr>
      </w:pPr>
      <w:r>
        <w:rPr>
          <w:rFonts w:ascii="Times New Roman" w:hAnsi="Times New Roman" w:cs="Times New Roman"/>
          <w:lang w:eastAsia="en-US"/>
        </w:rPr>
        <w:lastRenderedPageBreak/>
        <w:t xml:space="preserve">One option to utilize the mobility state is that once </w:t>
      </w:r>
      <w:r w:rsidR="00AB2220">
        <w:rPr>
          <w:rFonts w:ascii="Times New Roman" w:hAnsi="Times New Roman" w:cs="Times New Roman"/>
          <w:lang w:eastAsia="en-US"/>
        </w:rPr>
        <w:t xml:space="preserve">an UE is identified as </w:t>
      </w:r>
      <w:r w:rsidR="001B63C6">
        <w:rPr>
          <w:rFonts w:ascii="Times New Roman" w:hAnsi="Times New Roman" w:cs="Times New Roman"/>
          <w:lang w:eastAsia="en-US"/>
        </w:rPr>
        <w:t xml:space="preserve">a </w:t>
      </w:r>
      <w:r w:rsidR="00AB2220">
        <w:rPr>
          <w:rFonts w:ascii="Times New Roman" w:hAnsi="Times New Roman" w:cs="Times New Roman"/>
          <w:lang w:eastAsia="en-US"/>
        </w:rPr>
        <w:t>high-mobility</w:t>
      </w:r>
      <w:r w:rsidR="001B63C6">
        <w:rPr>
          <w:rFonts w:ascii="Times New Roman" w:hAnsi="Times New Roman" w:cs="Times New Roman"/>
          <w:lang w:eastAsia="en-US"/>
        </w:rPr>
        <w:t xml:space="preserve"> UE</w:t>
      </w:r>
      <w:r w:rsidR="00AB2220">
        <w:rPr>
          <w:rFonts w:ascii="Times New Roman" w:hAnsi="Times New Roman" w:cs="Times New Roman"/>
          <w:lang w:eastAsia="en-US"/>
        </w:rPr>
        <w:t xml:space="preserve">, </w:t>
      </w:r>
      <w:r w:rsidR="001B63C6">
        <w:rPr>
          <w:rFonts w:ascii="Times New Roman" w:hAnsi="Times New Roman" w:cs="Times New Roman"/>
          <w:lang w:eastAsia="en-US"/>
        </w:rPr>
        <w:t>even if the serving cell is above the RSRP/RSRQ/SINR threshold, the UE shall still perform the intra/inter-frequency measurement according to the measurement requirement specified in TS 38.133.</w:t>
      </w:r>
    </w:p>
    <w:p w14:paraId="3F3DA5AC" w14:textId="1CA45A0D" w:rsidR="00364A5B" w:rsidRDefault="00227EB4" w:rsidP="009B7CE6">
      <w:pPr>
        <w:pStyle w:val="BodyText"/>
        <w:rPr>
          <w:rFonts w:ascii="Times New Roman" w:hAnsi="Times New Roman" w:cs="Times New Roman"/>
          <w:b/>
          <w:lang w:eastAsia="en-US"/>
        </w:rPr>
      </w:pPr>
      <w:r>
        <w:rPr>
          <w:rFonts w:ascii="Times New Roman" w:hAnsi="Times New Roman" w:cs="Times New Roman"/>
          <w:b/>
          <w:lang w:eastAsia="en-US"/>
        </w:rPr>
        <w:t>Option 1</w:t>
      </w:r>
      <w:r w:rsidR="00672457">
        <w:rPr>
          <w:rFonts w:ascii="Times New Roman" w:hAnsi="Times New Roman" w:cs="Times New Roman"/>
          <w:b/>
          <w:lang w:eastAsia="en-US"/>
        </w:rPr>
        <w:t xml:space="preserve">: </w:t>
      </w:r>
      <w:r w:rsidR="00151AF3">
        <w:rPr>
          <w:rFonts w:ascii="Times New Roman" w:hAnsi="Times New Roman" w:cs="Times New Roman"/>
          <w:b/>
          <w:lang w:eastAsia="en-US"/>
        </w:rPr>
        <w:t xml:space="preserve">The high-mobility UE shall still perform the </w:t>
      </w:r>
      <w:r w:rsidR="00C03D0E">
        <w:rPr>
          <w:rFonts w:ascii="Times New Roman" w:hAnsi="Times New Roman" w:cs="Times New Roman"/>
          <w:b/>
          <w:lang w:eastAsia="en-US"/>
        </w:rPr>
        <w:t>neighbour cell</w:t>
      </w:r>
      <w:r w:rsidR="00151AF3">
        <w:rPr>
          <w:rFonts w:ascii="Times New Roman" w:hAnsi="Times New Roman" w:cs="Times New Roman"/>
          <w:b/>
          <w:lang w:eastAsia="en-US"/>
        </w:rPr>
        <w:t xml:space="preserve"> measurement </w:t>
      </w:r>
      <w:r w:rsidR="004A38AB">
        <w:rPr>
          <w:rFonts w:ascii="Times New Roman" w:hAnsi="Times New Roman" w:cs="Times New Roman"/>
          <w:b/>
          <w:lang w:eastAsia="en-US"/>
        </w:rPr>
        <w:t>even if it is not at the cell edge</w:t>
      </w:r>
      <w:r w:rsidR="00435941">
        <w:rPr>
          <w:rFonts w:ascii="Times New Roman" w:hAnsi="Times New Roman" w:cs="Times New Roman"/>
          <w:b/>
          <w:lang w:eastAsia="en-US"/>
        </w:rPr>
        <w:t>.</w:t>
      </w:r>
    </w:p>
    <w:p w14:paraId="71EC04F7" w14:textId="67735014" w:rsidR="00AB1D2C" w:rsidRDefault="006D6BC9" w:rsidP="008E0F27">
      <w:pPr>
        <w:pStyle w:val="BodyText"/>
        <w:rPr>
          <w:rFonts w:ascii="Times New Roman" w:hAnsi="Times New Roman" w:cs="Times New Roman"/>
          <w:lang w:eastAsia="en-US"/>
        </w:rPr>
      </w:pPr>
      <w:r>
        <w:rPr>
          <w:rFonts w:ascii="Times New Roman" w:hAnsi="Times New Roman" w:cs="Times New Roman"/>
          <w:lang w:eastAsia="en-US"/>
        </w:rPr>
        <w:t>Alternatively</w:t>
      </w:r>
      <w:r w:rsidR="00C806D8">
        <w:rPr>
          <w:rFonts w:ascii="Times New Roman" w:hAnsi="Times New Roman" w:cs="Times New Roman"/>
          <w:lang w:eastAsia="en-US"/>
        </w:rPr>
        <w:t>, for</w:t>
      </w:r>
      <w:r w:rsidR="00A12328">
        <w:rPr>
          <w:rFonts w:ascii="Times New Roman" w:hAnsi="Times New Roman" w:cs="Times New Roman"/>
          <w:lang w:eastAsia="en-US"/>
        </w:rPr>
        <w:t xml:space="preserve"> </w:t>
      </w:r>
      <w:r w:rsidR="00CC01D0">
        <w:rPr>
          <w:rFonts w:ascii="Times New Roman" w:hAnsi="Times New Roman" w:cs="Times New Roman"/>
          <w:lang w:eastAsia="en-US"/>
        </w:rPr>
        <w:t>the</w:t>
      </w:r>
      <w:r w:rsidR="00C806D8">
        <w:rPr>
          <w:rFonts w:ascii="Times New Roman" w:hAnsi="Times New Roman" w:cs="Times New Roman"/>
          <w:lang w:eastAsia="en-US"/>
        </w:rPr>
        <w:t xml:space="preserve"> high-mobility UE not located at cell edge, </w:t>
      </w:r>
      <w:r w:rsidR="00BB1423">
        <w:rPr>
          <w:rFonts w:ascii="Times New Roman" w:hAnsi="Times New Roman" w:cs="Times New Roman"/>
          <w:lang w:eastAsia="en-US"/>
        </w:rPr>
        <w:t>although</w:t>
      </w:r>
      <w:r w:rsidR="00C46FFC">
        <w:rPr>
          <w:rFonts w:ascii="Times New Roman" w:hAnsi="Times New Roman" w:cs="Times New Roman"/>
          <w:lang w:eastAsia="en-US"/>
        </w:rPr>
        <w:t xml:space="preserve"> </w:t>
      </w:r>
      <w:r w:rsidR="00411E24">
        <w:rPr>
          <w:rFonts w:ascii="Times New Roman" w:hAnsi="Times New Roman" w:cs="Times New Roman"/>
          <w:lang w:eastAsia="en-US"/>
        </w:rPr>
        <w:t xml:space="preserve">the </w:t>
      </w:r>
      <w:r w:rsidR="00C46FFC">
        <w:rPr>
          <w:rFonts w:ascii="Times New Roman" w:hAnsi="Times New Roman" w:cs="Times New Roman"/>
          <w:lang w:eastAsia="en-US"/>
        </w:rPr>
        <w:t>UE</w:t>
      </w:r>
      <w:r w:rsidR="00C806D8">
        <w:rPr>
          <w:rFonts w:ascii="Times New Roman" w:hAnsi="Times New Roman" w:cs="Times New Roman"/>
          <w:lang w:eastAsia="en-US"/>
        </w:rPr>
        <w:t xml:space="preserve"> </w:t>
      </w:r>
      <w:r w:rsidR="00BB1423">
        <w:rPr>
          <w:rFonts w:ascii="Times New Roman" w:hAnsi="Times New Roman" w:cs="Times New Roman"/>
          <w:lang w:eastAsia="en-US"/>
        </w:rPr>
        <w:t>still needs to</w:t>
      </w:r>
      <w:r w:rsidR="00C806D8">
        <w:rPr>
          <w:rFonts w:ascii="Times New Roman" w:hAnsi="Times New Roman" w:cs="Times New Roman"/>
          <w:lang w:eastAsia="en-US"/>
        </w:rPr>
        <w:t xml:space="preserve"> perform the intra/inter-frequency measurement</w:t>
      </w:r>
      <w:r w:rsidR="00BB1423">
        <w:rPr>
          <w:rFonts w:ascii="Times New Roman" w:hAnsi="Times New Roman" w:cs="Times New Roman"/>
          <w:lang w:eastAsia="en-US"/>
        </w:rPr>
        <w:t>, we can allow such UE to perform the measurement</w:t>
      </w:r>
      <w:r w:rsidR="00C806D8">
        <w:rPr>
          <w:rFonts w:ascii="Times New Roman" w:hAnsi="Times New Roman" w:cs="Times New Roman"/>
          <w:lang w:eastAsia="en-US"/>
        </w:rPr>
        <w:t xml:space="preserve"> with relaxed measurement requirement</w:t>
      </w:r>
      <w:r w:rsidR="0014493B">
        <w:rPr>
          <w:rFonts w:ascii="Times New Roman" w:hAnsi="Times New Roman" w:cs="Times New Roman"/>
          <w:lang w:eastAsia="en-US"/>
        </w:rPr>
        <w:t>s</w:t>
      </w:r>
      <w:r w:rsidR="00C806D8">
        <w:rPr>
          <w:rFonts w:ascii="Times New Roman" w:hAnsi="Times New Roman" w:cs="Times New Roman"/>
          <w:lang w:eastAsia="en-US"/>
        </w:rPr>
        <w:t xml:space="preserve"> (</w:t>
      </w:r>
      <w:r w:rsidR="00BB1423">
        <w:rPr>
          <w:rFonts w:ascii="Times New Roman" w:hAnsi="Times New Roman" w:cs="Times New Roman"/>
          <w:lang w:eastAsia="en-US"/>
        </w:rPr>
        <w:t xml:space="preserve">i.e., UE </w:t>
      </w:r>
      <w:r w:rsidR="00EE7FA7">
        <w:rPr>
          <w:rFonts w:ascii="Times New Roman" w:hAnsi="Times New Roman" w:cs="Times New Roman"/>
          <w:lang w:eastAsia="en-US"/>
        </w:rPr>
        <w:t xml:space="preserve">can </w:t>
      </w:r>
      <w:r w:rsidR="00BB1423">
        <w:rPr>
          <w:rFonts w:ascii="Times New Roman" w:hAnsi="Times New Roman" w:cs="Times New Roman"/>
          <w:lang w:eastAsia="en-US"/>
        </w:rPr>
        <w:t xml:space="preserve">perform </w:t>
      </w:r>
      <w:r w:rsidR="00EE7FA7">
        <w:rPr>
          <w:rFonts w:ascii="Times New Roman" w:hAnsi="Times New Roman" w:cs="Times New Roman"/>
          <w:lang w:eastAsia="en-US"/>
        </w:rPr>
        <w:t xml:space="preserve">the </w:t>
      </w:r>
      <w:r w:rsidR="00BB1423">
        <w:rPr>
          <w:rFonts w:ascii="Times New Roman" w:hAnsi="Times New Roman" w:cs="Times New Roman"/>
          <w:lang w:eastAsia="en-US"/>
        </w:rPr>
        <w:t>measurement less frequently</w:t>
      </w:r>
      <w:r w:rsidR="00C806D8">
        <w:rPr>
          <w:rFonts w:ascii="Times New Roman" w:hAnsi="Times New Roman" w:cs="Times New Roman"/>
          <w:lang w:eastAsia="en-US"/>
        </w:rPr>
        <w:t>)</w:t>
      </w:r>
      <w:r w:rsidR="00AB1D2C">
        <w:rPr>
          <w:rFonts w:ascii="Times New Roman" w:hAnsi="Times New Roman" w:cs="Times New Roman"/>
          <w:lang w:eastAsia="en-US"/>
        </w:rPr>
        <w:t xml:space="preserve">, as shown in </w:t>
      </w:r>
      <w:r w:rsidR="00702784">
        <w:rPr>
          <w:rFonts w:ascii="Times New Roman" w:hAnsi="Times New Roman" w:cs="Times New Roman"/>
          <w:lang w:eastAsia="en-US"/>
        </w:rPr>
        <w:t>F</w:t>
      </w:r>
      <w:r w:rsidR="00AB1D2C">
        <w:rPr>
          <w:rFonts w:ascii="Times New Roman" w:hAnsi="Times New Roman" w:cs="Times New Roman"/>
          <w:lang w:eastAsia="en-US"/>
        </w:rPr>
        <w:t>igure 2</w:t>
      </w:r>
      <w:r w:rsidR="00C806D8">
        <w:rPr>
          <w:rFonts w:ascii="Times New Roman" w:hAnsi="Times New Roman" w:cs="Times New Roman"/>
          <w:lang w:eastAsia="en-US"/>
        </w:rPr>
        <w:t xml:space="preserve">. </w:t>
      </w:r>
      <w:r w:rsidR="0016571A">
        <w:rPr>
          <w:rFonts w:ascii="Times New Roman" w:hAnsi="Times New Roman" w:cs="Times New Roman"/>
          <w:lang w:eastAsia="en-US"/>
        </w:rPr>
        <w:t>As a result</w:t>
      </w:r>
      <w:r w:rsidR="0027649E">
        <w:rPr>
          <w:rFonts w:ascii="Times New Roman" w:hAnsi="Times New Roman" w:cs="Times New Roman"/>
          <w:lang w:eastAsia="en-US"/>
        </w:rPr>
        <w:t xml:space="preserve">, UE can still </w:t>
      </w:r>
      <w:r w:rsidR="007C16BA">
        <w:rPr>
          <w:rFonts w:ascii="Times New Roman" w:hAnsi="Times New Roman" w:cs="Times New Roman"/>
          <w:lang w:eastAsia="en-US"/>
        </w:rPr>
        <w:t xml:space="preserve">save power </w:t>
      </w:r>
      <w:r w:rsidR="0027649E">
        <w:rPr>
          <w:rFonts w:ascii="Times New Roman" w:hAnsi="Times New Roman" w:cs="Times New Roman"/>
          <w:lang w:eastAsia="en-US"/>
        </w:rPr>
        <w:t xml:space="preserve">while </w:t>
      </w:r>
      <w:r w:rsidR="000B4759">
        <w:rPr>
          <w:rFonts w:ascii="Times New Roman" w:hAnsi="Times New Roman" w:cs="Times New Roman"/>
          <w:lang w:eastAsia="en-US"/>
        </w:rPr>
        <w:t xml:space="preserve">minimizes </w:t>
      </w:r>
      <w:r w:rsidR="0027649E">
        <w:rPr>
          <w:rFonts w:ascii="Times New Roman" w:hAnsi="Times New Roman" w:cs="Times New Roman"/>
          <w:lang w:eastAsia="en-US"/>
        </w:rPr>
        <w:t>the impact to</w:t>
      </w:r>
      <w:r w:rsidR="0011286B">
        <w:rPr>
          <w:rFonts w:ascii="Times New Roman" w:hAnsi="Times New Roman" w:cs="Times New Roman"/>
          <w:lang w:eastAsia="en-US"/>
        </w:rPr>
        <w:t xml:space="preserve"> the</w:t>
      </w:r>
      <w:r w:rsidR="0027649E">
        <w:rPr>
          <w:rFonts w:ascii="Times New Roman" w:hAnsi="Times New Roman" w:cs="Times New Roman"/>
          <w:lang w:eastAsia="en-US"/>
        </w:rPr>
        <w:t xml:space="preserve"> mobility performance. </w:t>
      </w:r>
    </w:p>
    <w:p w14:paraId="136C1E08" w14:textId="6E040700" w:rsidR="00FE25DD" w:rsidRDefault="006D6BC9" w:rsidP="000B66D9">
      <w:pPr>
        <w:pStyle w:val="BodyText"/>
        <w:jc w:val="center"/>
        <w:rPr>
          <w:rFonts w:ascii="Times New Roman" w:hAnsi="Times New Roman" w:cs="Times New Roman"/>
          <w:lang w:eastAsia="en-US"/>
        </w:rPr>
      </w:pPr>
      <w:r>
        <w:object w:dxaOrig="7184" w:dyaOrig="5675" w14:anchorId="2CFD69E6">
          <v:shape id="_x0000_i1026" type="#_x0000_t75" style="width:330.6pt;height:260.4pt" o:ole="">
            <v:imagedata r:id="rId15" o:title=""/>
          </v:shape>
          <o:OLEObject Type="Embed" ProgID="Visio.Drawing.15" ShapeID="_x0000_i1026" DrawAspect="Content" ObjectID="_1634648666" r:id="rId16"/>
        </w:object>
      </w:r>
    </w:p>
    <w:p w14:paraId="2DD5F918" w14:textId="4DD402A8" w:rsidR="000B66D9" w:rsidRDefault="000B66D9" w:rsidP="008E0F27">
      <w:pPr>
        <w:jc w:val="center"/>
        <w:rPr>
          <w:lang w:eastAsia="en-US"/>
        </w:rPr>
      </w:pPr>
      <w:r w:rsidRPr="009C290F">
        <w:rPr>
          <w:rFonts w:ascii="Times New Roman" w:hAnsi="Times New Roman"/>
          <w:sz w:val="20"/>
          <w:szCs w:val="20"/>
        </w:rPr>
        <w:t xml:space="preserve">Figure </w:t>
      </w:r>
      <w:r w:rsidR="00BC7D4A">
        <w:rPr>
          <w:rFonts w:ascii="Times New Roman" w:hAnsi="Times New Roman"/>
          <w:sz w:val="20"/>
          <w:szCs w:val="20"/>
        </w:rPr>
        <w:t>2</w:t>
      </w:r>
      <w:r w:rsidRPr="009C290F">
        <w:rPr>
          <w:rFonts w:ascii="Times New Roman" w:hAnsi="Times New Roman"/>
          <w:sz w:val="20"/>
          <w:szCs w:val="20"/>
        </w:rPr>
        <w:t xml:space="preserve">. </w:t>
      </w:r>
      <w:r w:rsidR="006E52E2">
        <w:rPr>
          <w:rFonts w:ascii="Times New Roman" w:hAnsi="Times New Roman"/>
          <w:sz w:val="20"/>
          <w:szCs w:val="20"/>
        </w:rPr>
        <w:t xml:space="preserve">The high-mobility UE </w:t>
      </w:r>
      <w:r w:rsidR="00697D6E">
        <w:rPr>
          <w:rFonts w:ascii="Times New Roman" w:hAnsi="Times New Roman"/>
          <w:sz w:val="20"/>
          <w:szCs w:val="20"/>
        </w:rPr>
        <w:t xml:space="preserve">that is </w:t>
      </w:r>
      <w:r w:rsidR="006E52E2">
        <w:rPr>
          <w:rFonts w:ascii="Times New Roman" w:hAnsi="Times New Roman"/>
          <w:sz w:val="20"/>
          <w:szCs w:val="20"/>
        </w:rPr>
        <w:t xml:space="preserve">not at the cell edge still needs to perform </w:t>
      </w:r>
      <w:r w:rsidR="00697D6E">
        <w:rPr>
          <w:rFonts w:ascii="Times New Roman" w:hAnsi="Times New Roman"/>
          <w:sz w:val="20"/>
          <w:szCs w:val="20"/>
        </w:rPr>
        <w:t xml:space="preserve">the </w:t>
      </w:r>
      <w:r w:rsidR="006E52E2">
        <w:rPr>
          <w:rFonts w:ascii="Times New Roman" w:hAnsi="Times New Roman"/>
          <w:sz w:val="20"/>
          <w:szCs w:val="20"/>
        </w:rPr>
        <w:t>intra-frequency measurement, but with relaxed measurement requirements</w:t>
      </w:r>
      <w:r>
        <w:rPr>
          <w:rFonts w:ascii="Times New Roman" w:hAnsi="Times New Roman"/>
          <w:sz w:val="20"/>
          <w:szCs w:val="20"/>
        </w:rPr>
        <w:t>.</w:t>
      </w:r>
    </w:p>
    <w:p w14:paraId="78C690DC" w14:textId="69BAD5D8" w:rsidR="00217C9D" w:rsidRDefault="008414D6" w:rsidP="009B7CE6">
      <w:pPr>
        <w:pStyle w:val="BodyText"/>
        <w:rPr>
          <w:rFonts w:ascii="Times New Roman" w:hAnsi="Times New Roman" w:cs="Times New Roman"/>
          <w:b/>
          <w:lang w:eastAsia="en-US"/>
        </w:rPr>
      </w:pPr>
      <w:r>
        <w:rPr>
          <w:rFonts w:ascii="Times New Roman" w:hAnsi="Times New Roman" w:cs="Times New Roman"/>
          <w:b/>
          <w:lang w:eastAsia="en-US"/>
        </w:rPr>
        <w:t>Option 2</w:t>
      </w:r>
      <w:r w:rsidR="00A670C9">
        <w:rPr>
          <w:rFonts w:ascii="Times New Roman" w:hAnsi="Times New Roman" w:cs="Times New Roman"/>
          <w:b/>
          <w:lang w:eastAsia="en-US"/>
        </w:rPr>
        <w:t>: The high-mobility UE perform</w:t>
      </w:r>
      <w:r w:rsidR="001121EE">
        <w:rPr>
          <w:rFonts w:ascii="Times New Roman" w:hAnsi="Times New Roman" w:cs="Times New Roman"/>
          <w:b/>
          <w:lang w:eastAsia="en-US"/>
        </w:rPr>
        <w:t>s</w:t>
      </w:r>
      <w:r w:rsidR="00A670C9">
        <w:rPr>
          <w:rFonts w:ascii="Times New Roman" w:hAnsi="Times New Roman" w:cs="Times New Roman"/>
          <w:b/>
          <w:lang w:eastAsia="en-US"/>
        </w:rPr>
        <w:t xml:space="preserve"> the </w:t>
      </w:r>
      <w:r w:rsidR="00DD1E7C">
        <w:rPr>
          <w:rFonts w:ascii="Times New Roman" w:hAnsi="Times New Roman" w:cs="Times New Roman"/>
          <w:b/>
          <w:lang w:eastAsia="en-US"/>
        </w:rPr>
        <w:t>neighbour cell</w:t>
      </w:r>
      <w:r w:rsidR="00A670C9">
        <w:rPr>
          <w:rFonts w:ascii="Times New Roman" w:hAnsi="Times New Roman" w:cs="Times New Roman"/>
          <w:b/>
          <w:lang w:eastAsia="en-US"/>
        </w:rPr>
        <w:t xml:space="preserve"> measurement </w:t>
      </w:r>
      <w:r w:rsidR="001121EE">
        <w:rPr>
          <w:rFonts w:ascii="Times New Roman" w:hAnsi="Times New Roman" w:cs="Times New Roman"/>
          <w:b/>
          <w:lang w:eastAsia="en-US"/>
        </w:rPr>
        <w:t>with relaxed measurement requirement</w:t>
      </w:r>
      <w:r w:rsidR="00D8351F">
        <w:rPr>
          <w:rFonts w:ascii="Times New Roman" w:hAnsi="Times New Roman" w:cs="Times New Roman"/>
          <w:b/>
          <w:lang w:eastAsia="en-US"/>
        </w:rPr>
        <w:t>s</w:t>
      </w:r>
      <w:r w:rsidR="001121EE">
        <w:rPr>
          <w:rFonts w:ascii="Times New Roman" w:hAnsi="Times New Roman" w:cs="Times New Roman"/>
          <w:b/>
          <w:lang w:eastAsia="en-US"/>
        </w:rPr>
        <w:t xml:space="preserve">, </w:t>
      </w:r>
      <w:r w:rsidR="00A670C9">
        <w:rPr>
          <w:rFonts w:ascii="Times New Roman" w:hAnsi="Times New Roman" w:cs="Times New Roman"/>
          <w:b/>
          <w:lang w:eastAsia="en-US"/>
        </w:rPr>
        <w:t xml:space="preserve">if </w:t>
      </w:r>
      <w:r w:rsidR="001121EE">
        <w:rPr>
          <w:rFonts w:ascii="Times New Roman" w:hAnsi="Times New Roman" w:cs="Times New Roman"/>
          <w:b/>
          <w:lang w:eastAsia="en-US"/>
        </w:rPr>
        <w:t>the UE</w:t>
      </w:r>
      <w:r w:rsidR="00A670C9">
        <w:rPr>
          <w:rFonts w:ascii="Times New Roman" w:hAnsi="Times New Roman" w:cs="Times New Roman"/>
          <w:b/>
          <w:lang w:eastAsia="en-US"/>
        </w:rPr>
        <w:t xml:space="preserve"> is not at the cell edge.</w:t>
      </w:r>
    </w:p>
    <w:p w14:paraId="7FB40F9A" w14:textId="02C03059" w:rsidR="00CA2C82" w:rsidRDefault="00BE05D9" w:rsidP="00CA2C82">
      <w:pPr>
        <w:pStyle w:val="BodyText"/>
        <w:rPr>
          <w:rFonts w:ascii="Times New Roman" w:hAnsi="Times New Roman" w:cs="Times New Roman"/>
          <w:lang w:eastAsia="en-US"/>
        </w:rPr>
      </w:pPr>
      <w:r>
        <w:rPr>
          <w:rFonts w:ascii="Times New Roman" w:hAnsi="Times New Roman" w:cs="Times New Roman"/>
          <w:lang w:eastAsia="en-US"/>
        </w:rPr>
        <w:t>As an a</w:t>
      </w:r>
      <w:r w:rsidR="00D73123" w:rsidRPr="00D73123">
        <w:rPr>
          <w:rFonts w:ascii="Times New Roman" w:hAnsi="Times New Roman" w:cs="Times New Roman"/>
          <w:lang w:eastAsia="en-US"/>
        </w:rPr>
        <w:t xml:space="preserve">lternative to </w:t>
      </w:r>
      <w:r w:rsidR="00551115">
        <w:rPr>
          <w:rFonts w:ascii="Times New Roman" w:hAnsi="Times New Roman" w:cs="Times New Roman"/>
          <w:lang w:eastAsia="en-US"/>
        </w:rPr>
        <w:t>option 1</w:t>
      </w:r>
      <w:r w:rsidR="00D73123" w:rsidRPr="00D73123">
        <w:rPr>
          <w:rFonts w:ascii="Times New Roman" w:hAnsi="Times New Roman" w:cs="Times New Roman"/>
          <w:lang w:eastAsia="en-US"/>
        </w:rPr>
        <w:t xml:space="preserve"> and </w:t>
      </w:r>
      <w:r w:rsidR="00551115">
        <w:rPr>
          <w:rFonts w:ascii="Times New Roman" w:hAnsi="Times New Roman" w:cs="Times New Roman"/>
          <w:lang w:eastAsia="en-US"/>
        </w:rPr>
        <w:t>option</w:t>
      </w:r>
      <w:r w:rsidR="009E502E">
        <w:rPr>
          <w:rFonts w:ascii="Times New Roman" w:hAnsi="Times New Roman" w:cs="Times New Roman"/>
          <w:lang w:eastAsia="en-US"/>
        </w:rPr>
        <w:t xml:space="preserve"> </w:t>
      </w:r>
      <w:r w:rsidR="00551115">
        <w:rPr>
          <w:rFonts w:ascii="Times New Roman" w:hAnsi="Times New Roman" w:cs="Times New Roman"/>
          <w:lang w:eastAsia="en-US"/>
        </w:rPr>
        <w:t>2</w:t>
      </w:r>
      <w:r w:rsidR="00D73123" w:rsidRPr="00D73123">
        <w:rPr>
          <w:rFonts w:ascii="Times New Roman" w:hAnsi="Times New Roman" w:cs="Times New Roman"/>
          <w:lang w:eastAsia="en-US"/>
        </w:rPr>
        <w:t xml:space="preserve">, </w:t>
      </w:r>
      <w:r w:rsidR="0029332C">
        <w:rPr>
          <w:rFonts w:ascii="Times New Roman" w:hAnsi="Times New Roman" w:cs="Times New Roman"/>
          <w:lang w:eastAsia="en-US"/>
        </w:rPr>
        <w:t>the network</w:t>
      </w:r>
      <w:r>
        <w:rPr>
          <w:rFonts w:ascii="Times New Roman" w:hAnsi="Times New Roman" w:cs="Times New Roman"/>
          <w:lang w:eastAsia="en-US"/>
        </w:rPr>
        <w:t xml:space="preserve"> can </w:t>
      </w:r>
      <w:r w:rsidR="0029332C">
        <w:rPr>
          <w:rFonts w:ascii="Times New Roman" w:hAnsi="Times New Roman" w:cs="Times New Roman"/>
          <w:lang w:eastAsia="en-US"/>
        </w:rPr>
        <w:t>configure</w:t>
      </w:r>
      <w:r>
        <w:rPr>
          <w:rFonts w:ascii="Times New Roman" w:hAnsi="Times New Roman" w:cs="Times New Roman"/>
          <w:lang w:eastAsia="en-US"/>
        </w:rPr>
        <w:t xml:space="preserve"> a different threshold value, S</w:t>
      </w:r>
      <w:r w:rsidRPr="00BE05D9">
        <w:rPr>
          <w:rFonts w:ascii="Times New Roman" w:hAnsi="Times New Roman" w:cs="Times New Roman"/>
          <w:vertAlign w:val="subscript"/>
          <w:lang w:eastAsia="en-US"/>
        </w:rPr>
        <w:t>2</w:t>
      </w:r>
      <w:r>
        <w:rPr>
          <w:rFonts w:ascii="Times New Roman" w:hAnsi="Times New Roman" w:cs="Times New Roman"/>
          <w:lang w:eastAsia="en-US"/>
        </w:rPr>
        <w:t xml:space="preserve">, particularly </w:t>
      </w:r>
      <w:r w:rsidR="0029332C">
        <w:rPr>
          <w:rFonts w:ascii="Times New Roman" w:hAnsi="Times New Roman" w:cs="Times New Roman"/>
          <w:lang w:eastAsia="en-US"/>
        </w:rPr>
        <w:t>for</w:t>
      </w:r>
      <w:r>
        <w:rPr>
          <w:rFonts w:ascii="Times New Roman" w:hAnsi="Times New Roman" w:cs="Times New Roman"/>
          <w:lang w:eastAsia="en-US"/>
        </w:rPr>
        <w:t xml:space="preserve"> the hig</w:t>
      </w:r>
      <w:r w:rsidR="00BD7D0F">
        <w:rPr>
          <w:rFonts w:ascii="Times New Roman" w:hAnsi="Times New Roman" w:cs="Times New Roman"/>
          <w:lang w:eastAsia="en-US"/>
        </w:rPr>
        <w:t>h-mobility UE, and</w:t>
      </w:r>
      <w:r>
        <w:rPr>
          <w:rFonts w:ascii="Times New Roman" w:hAnsi="Times New Roman" w:cs="Times New Roman"/>
          <w:lang w:eastAsia="en-US"/>
        </w:rPr>
        <w:t xml:space="preserve"> S</w:t>
      </w:r>
      <w:r w:rsidRPr="00BE05D9">
        <w:rPr>
          <w:rFonts w:ascii="Times New Roman" w:hAnsi="Times New Roman" w:cs="Times New Roman"/>
          <w:vertAlign w:val="subscript"/>
          <w:lang w:eastAsia="en-US"/>
        </w:rPr>
        <w:t>2</w:t>
      </w:r>
      <w:r>
        <w:rPr>
          <w:rFonts w:ascii="Times New Roman" w:hAnsi="Times New Roman" w:cs="Times New Roman"/>
          <w:lang w:eastAsia="en-US"/>
        </w:rPr>
        <w:t xml:space="preserve"> </w:t>
      </w:r>
      <w:r w:rsidR="00905723">
        <w:rPr>
          <w:rFonts w:ascii="Times New Roman" w:hAnsi="Times New Roman" w:cs="Times New Roman"/>
          <w:lang w:eastAsia="en-US"/>
        </w:rPr>
        <w:t>needs to be</w:t>
      </w:r>
      <w:r>
        <w:rPr>
          <w:rFonts w:ascii="Times New Roman" w:hAnsi="Times New Roman" w:cs="Times New Roman"/>
          <w:lang w:eastAsia="en-US"/>
        </w:rPr>
        <w:t xml:space="preserve"> higher than S</w:t>
      </w:r>
      <w:r w:rsidRPr="00BE05D9">
        <w:rPr>
          <w:rFonts w:ascii="Times New Roman" w:hAnsi="Times New Roman" w:cs="Times New Roman"/>
          <w:vertAlign w:val="subscript"/>
          <w:lang w:eastAsia="en-US"/>
        </w:rPr>
        <w:t>1</w:t>
      </w:r>
      <w:r w:rsidR="00C000CC">
        <w:rPr>
          <w:rFonts w:ascii="Times New Roman" w:hAnsi="Times New Roman" w:cs="Times New Roman"/>
          <w:vertAlign w:val="subscript"/>
          <w:lang w:eastAsia="en-US"/>
        </w:rPr>
        <w:t xml:space="preserve"> </w:t>
      </w:r>
      <w:r w:rsidR="00C000CC" w:rsidRPr="00C000CC">
        <w:rPr>
          <w:rFonts w:ascii="Times New Roman" w:hAnsi="Times New Roman" w:cs="Times New Roman"/>
          <w:lang w:eastAsia="en-US"/>
        </w:rPr>
        <w:t xml:space="preserve">as </w:t>
      </w:r>
      <w:r w:rsidR="00B80EA5">
        <w:rPr>
          <w:rFonts w:ascii="Times New Roman" w:hAnsi="Times New Roman" w:cs="Times New Roman"/>
          <w:lang w:eastAsia="en-US"/>
        </w:rPr>
        <w:t xml:space="preserve">illustrated </w:t>
      </w:r>
      <w:r w:rsidR="00C000CC" w:rsidRPr="00C000CC">
        <w:rPr>
          <w:rFonts w:ascii="Times New Roman" w:hAnsi="Times New Roman" w:cs="Times New Roman"/>
          <w:lang w:eastAsia="en-US"/>
        </w:rPr>
        <w:t xml:space="preserve">in </w:t>
      </w:r>
      <w:r w:rsidR="00D27F89">
        <w:rPr>
          <w:rFonts w:ascii="Times New Roman" w:hAnsi="Times New Roman" w:cs="Times New Roman"/>
          <w:lang w:eastAsia="en-US"/>
        </w:rPr>
        <w:t>F</w:t>
      </w:r>
      <w:r w:rsidR="00C000CC" w:rsidRPr="00C000CC">
        <w:rPr>
          <w:rFonts w:ascii="Times New Roman" w:hAnsi="Times New Roman" w:cs="Times New Roman"/>
          <w:lang w:eastAsia="en-US"/>
        </w:rPr>
        <w:t>igure 3</w:t>
      </w:r>
      <w:r>
        <w:rPr>
          <w:rFonts w:ascii="Times New Roman" w:hAnsi="Times New Roman" w:cs="Times New Roman"/>
          <w:lang w:eastAsia="en-US"/>
        </w:rPr>
        <w:t xml:space="preserve">. </w:t>
      </w:r>
      <w:r w:rsidR="00085060">
        <w:rPr>
          <w:rFonts w:ascii="Times New Roman" w:hAnsi="Times New Roman" w:cs="Times New Roman"/>
          <w:lang w:eastAsia="en-US"/>
        </w:rPr>
        <w:t xml:space="preserve">This means </w:t>
      </w:r>
      <w:r w:rsidR="009066A0">
        <w:rPr>
          <w:rFonts w:ascii="Times New Roman" w:hAnsi="Times New Roman" w:cs="Times New Roman"/>
          <w:lang w:eastAsia="en-US"/>
        </w:rPr>
        <w:t xml:space="preserve">it is more likely for </w:t>
      </w:r>
      <w:r w:rsidR="00085060">
        <w:rPr>
          <w:rFonts w:ascii="Times New Roman" w:hAnsi="Times New Roman" w:cs="Times New Roman"/>
          <w:lang w:eastAsia="en-US"/>
        </w:rPr>
        <w:t>the high-mobility UE</w:t>
      </w:r>
      <w:r w:rsidR="009066A0">
        <w:rPr>
          <w:rFonts w:ascii="Times New Roman" w:hAnsi="Times New Roman" w:cs="Times New Roman"/>
          <w:lang w:eastAsia="en-US"/>
        </w:rPr>
        <w:t xml:space="preserve"> to consider</w:t>
      </w:r>
      <w:r w:rsidR="00085060">
        <w:rPr>
          <w:rFonts w:ascii="Times New Roman" w:hAnsi="Times New Roman" w:cs="Times New Roman"/>
          <w:lang w:eastAsia="en-US"/>
        </w:rPr>
        <w:t xml:space="preserve"> itself </w:t>
      </w:r>
      <w:r w:rsidR="00A43582">
        <w:rPr>
          <w:rFonts w:ascii="Times New Roman" w:hAnsi="Times New Roman" w:cs="Times New Roman"/>
          <w:lang w:eastAsia="en-US"/>
        </w:rPr>
        <w:t>at the cell-edge</w:t>
      </w:r>
      <w:r w:rsidR="0065347D">
        <w:rPr>
          <w:rFonts w:ascii="Times New Roman" w:hAnsi="Times New Roman" w:cs="Times New Roman"/>
          <w:lang w:eastAsia="en-US"/>
        </w:rPr>
        <w:t xml:space="preserve"> compare to the normal/medium-mobility UE</w:t>
      </w:r>
      <w:r w:rsidR="00A43582">
        <w:rPr>
          <w:rFonts w:ascii="Times New Roman" w:hAnsi="Times New Roman" w:cs="Times New Roman"/>
          <w:lang w:eastAsia="en-US"/>
        </w:rPr>
        <w:t xml:space="preserve">, and therefore </w:t>
      </w:r>
      <w:r w:rsidR="0065347D">
        <w:rPr>
          <w:rFonts w:ascii="Times New Roman" w:hAnsi="Times New Roman" w:cs="Times New Roman"/>
          <w:lang w:eastAsia="en-US"/>
        </w:rPr>
        <w:t>cannot relax the neighbour cell measurement easily.</w:t>
      </w:r>
    </w:p>
    <w:p w14:paraId="39C7776A" w14:textId="77777777" w:rsidR="00CA2C82" w:rsidRDefault="00CA2C82" w:rsidP="00CA2C82">
      <w:pPr>
        <w:pStyle w:val="BodyText"/>
        <w:jc w:val="center"/>
        <w:rPr>
          <w:rFonts w:ascii="Times New Roman" w:hAnsi="Times New Roman" w:cs="Times New Roman"/>
          <w:lang w:eastAsia="en-US"/>
        </w:rPr>
      </w:pPr>
      <w:r>
        <w:object w:dxaOrig="6266" w:dyaOrig="5632" w14:anchorId="77FEA95B">
          <v:shape id="_x0000_i1027" type="#_x0000_t75" style="width:282.6pt;height:253.2pt" o:ole="">
            <v:imagedata r:id="rId17" o:title=""/>
          </v:shape>
          <o:OLEObject Type="Embed" ProgID="Visio.Drawing.15" ShapeID="_x0000_i1027" DrawAspect="Content" ObjectID="_1634648667" r:id="rId18"/>
        </w:object>
      </w:r>
    </w:p>
    <w:p w14:paraId="343CE9B6" w14:textId="77777777" w:rsidR="00CA2C82" w:rsidRDefault="00CA2C82" w:rsidP="00CA2C82">
      <w:pPr>
        <w:pStyle w:val="BodyText"/>
        <w:jc w:val="center"/>
        <w:rPr>
          <w:rFonts w:ascii="Times New Roman" w:hAnsi="Times New Roman"/>
          <w:sz w:val="20"/>
          <w:szCs w:val="20"/>
        </w:rPr>
      </w:pPr>
      <w:r w:rsidRPr="009C290F">
        <w:rPr>
          <w:rFonts w:ascii="Times New Roman" w:hAnsi="Times New Roman"/>
          <w:sz w:val="20"/>
          <w:szCs w:val="20"/>
        </w:rPr>
        <w:t xml:space="preserve">Figure </w:t>
      </w:r>
      <w:r>
        <w:rPr>
          <w:rFonts w:ascii="Times New Roman" w:hAnsi="Times New Roman"/>
          <w:sz w:val="20"/>
          <w:szCs w:val="20"/>
        </w:rPr>
        <w:t>3</w:t>
      </w:r>
      <w:r w:rsidRPr="009C290F">
        <w:rPr>
          <w:rFonts w:ascii="Times New Roman" w:hAnsi="Times New Roman"/>
          <w:sz w:val="20"/>
          <w:szCs w:val="20"/>
        </w:rPr>
        <w:t xml:space="preserve">. </w:t>
      </w:r>
      <w:r>
        <w:rPr>
          <w:rFonts w:ascii="Times New Roman" w:hAnsi="Times New Roman"/>
          <w:sz w:val="20"/>
          <w:szCs w:val="20"/>
        </w:rPr>
        <w:t>Different thresholds for different UE mobility states.</w:t>
      </w:r>
    </w:p>
    <w:p w14:paraId="3EA72EA7" w14:textId="220B82F4" w:rsidR="00CA2C82" w:rsidRDefault="005C629E" w:rsidP="005C629E">
      <w:pPr>
        <w:pStyle w:val="BodyText"/>
        <w:rPr>
          <w:rFonts w:ascii="Times New Roman" w:hAnsi="Times New Roman" w:cs="Times New Roman"/>
          <w:lang w:eastAsia="en-US"/>
        </w:rPr>
      </w:pPr>
      <w:r>
        <w:rPr>
          <w:rFonts w:ascii="Times New Roman" w:hAnsi="Times New Roman" w:cs="Times New Roman"/>
          <w:b/>
          <w:lang w:eastAsia="en-US"/>
        </w:rPr>
        <w:t xml:space="preserve">Option 3: The thresholds used to judge whether an UE is at cell edge or not are separately configured for the high-mobility UE and for the normal-/medium-mobility UE. </w:t>
      </w:r>
    </w:p>
    <w:p w14:paraId="4D66DDE9" w14:textId="3FAAA3F3" w:rsidR="005C629E" w:rsidRDefault="005C629E" w:rsidP="005C629E">
      <w:pPr>
        <w:pStyle w:val="BodyText"/>
        <w:rPr>
          <w:rFonts w:ascii="Times New Roman" w:hAnsi="Times New Roman" w:cs="Times New Roman"/>
          <w:lang w:eastAsia="en-US"/>
        </w:rPr>
      </w:pPr>
      <w:r>
        <w:rPr>
          <w:rFonts w:ascii="Times New Roman" w:hAnsi="Times New Roman" w:cs="Times New Roman"/>
          <w:lang w:eastAsia="en-US"/>
        </w:rPr>
        <w:t xml:space="preserve">Among the above options, Option 1 introduces less specification impact (no impact to RAN4 specification) and also less UE complexity, and can effectively prevent the negative impact on UE mobility performance. Considering the remaining time for completing the WI is very limited, we think option 1 is a better choice </w:t>
      </w:r>
      <w:r w:rsidR="00345434">
        <w:rPr>
          <w:rFonts w:ascii="Times New Roman" w:hAnsi="Times New Roman" w:cs="Times New Roman"/>
          <w:lang w:eastAsia="en-US"/>
        </w:rPr>
        <w:t>at this moment</w:t>
      </w:r>
      <w:r>
        <w:rPr>
          <w:rFonts w:ascii="Times New Roman" w:hAnsi="Times New Roman" w:cs="Times New Roman"/>
          <w:lang w:eastAsia="en-US"/>
        </w:rPr>
        <w:t>.</w:t>
      </w:r>
    </w:p>
    <w:p w14:paraId="7E5C12F3" w14:textId="77777777" w:rsidR="005C629E" w:rsidRPr="00BA7440" w:rsidRDefault="005C629E" w:rsidP="005C629E">
      <w:pPr>
        <w:pStyle w:val="BodyText"/>
        <w:rPr>
          <w:rFonts w:ascii="Times New Roman" w:hAnsi="Times New Roman" w:cs="Times New Roman"/>
          <w:lang w:eastAsia="en-US"/>
        </w:rPr>
      </w:pPr>
      <w:r>
        <w:rPr>
          <w:rFonts w:ascii="Times New Roman" w:hAnsi="Times New Roman" w:cs="Times New Roman"/>
          <w:b/>
          <w:lang w:eastAsia="en-US"/>
        </w:rPr>
        <w:t>Proposal 2: The high-mobility UE shall still perform the neighbour cell measurement even if it is not at the cell edge.</w:t>
      </w:r>
    </w:p>
    <w:p w14:paraId="5AA677A0" w14:textId="77777777" w:rsidR="0036731F" w:rsidRPr="00D73123" w:rsidRDefault="0036731F" w:rsidP="00FC7922">
      <w:pPr>
        <w:pStyle w:val="BodyText"/>
        <w:jc w:val="center"/>
        <w:rPr>
          <w:rFonts w:ascii="Times New Roman" w:hAnsi="Times New Roman" w:cs="Times New Roman"/>
          <w:lang w:eastAsia="en-US"/>
        </w:rPr>
      </w:pPr>
    </w:p>
    <w:p w14:paraId="68437589" w14:textId="4B6E7FBB" w:rsidR="00FE2451" w:rsidRDefault="00FE2451" w:rsidP="00FE2451">
      <w:pPr>
        <w:pStyle w:val="Heading2"/>
        <w:rPr>
          <w:lang w:val="en-US"/>
        </w:rPr>
      </w:pPr>
      <w:r>
        <w:rPr>
          <w:lang w:val="en-US"/>
        </w:rPr>
        <w:t xml:space="preserve">The enhanced power saving for </w:t>
      </w:r>
      <w:r w:rsidR="00064037">
        <w:rPr>
          <w:lang w:val="en-US"/>
        </w:rPr>
        <w:t>normal</w:t>
      </w:r>
      <w:r>
        <w:rPr>
          <w:lang w:val="en-US"/>
        </w:rPr>
        <w:t>-mobility UE</w:t>
      </w:r>
    </w:p>
    <w:p w14:paraId="16345FBD" w14:textId="7B7D454F" w:rsidR="0036559A" w:rsidRDefault="00E76D76" w:rsidP="009B7CE6">
      <w:pPr>
        <w:pStyle w:val="BodyText"/>
        <w:rPr>
          <w:rFonts w:ascii="Times New Roman" w:hAnsi="Times New Roman" w:cs="Times New Roman"/>
          <w:lang w:val="en-US" w:eastAsia="en-US"/>
        </w:rPr>
      </w:pPr>
      <w:r>
        <w:rPr>
          <w:rFonts w:ascii="Times New Roman" w:hAnsi="Times New Roman" w:cs="Times New Roman"/>
          <w:lang w:val="en-US" w:eastAsia="en-US"/>
        </w:rPr>
        <w:t xml:space="preserve">As it is not likely that the cell quality </w:t>
      </w:r>
      <w:r w:rsidR="00DA10EC">
        <w:rPr>
          <w:rFonts w:ascii="Times New Roman" w:hAnsi="Times New Roman" w:cs="Times New Roman"/>
          <w:lang w:val="en-US" w:eastAsia="en-US"/>
        </w:rPr>
        <w:t xml:space="preserve">will </w:t>
      </w:r>
      <w:r>
        <w:rPr>
          <w:rFonts w:ascii="Times New Roman" w:hAnsi="Times New Roman" w:cs="Times New Roman"/>
          <w:lang w:val="en-US" w:eastAsia="en-US"/>
        </w:rPr>
        <w:t xml:space="preserve">change dramatically </w:t>
      </w:r>
      <w:r w:rsidR="00D0081F">
        <w:rPr>
          <w:rFonts w:ascii="Times New Roman" w:hAnsi="Times New Roman" w:cs="Times New Roman"/>
          <w:lang w:val="en-US" w:eastAsia="en-US"/>
        </w:rPr>
        <w:t>for the normal</w:t>
      </w:r>
      <w:r>
        <w:rPr>
          <w:rFonts w:ascii="Times New Roman" w:hAnsi="Times New Roman" w:cs="Times New Roman"/>
          <w:lang w:val="en-US" w:eastAsia="en-US"/>
        </w:rPr>
        <w:t>-mobility UE</w:t>
      </w:r>
      <w:r w:rsidR="00AE6D88">
        <w:rPr>
          <w:rFonts w:ascii="Times New Roman" w:hAnsi="Times New Roman" w:cs="Times New Roman"/>
          <w:lang w:val="en-US" w:eastAsia="en-US"/>
        </w:rPr>
        <w:t xml:space="preserve"> (i.e., the UE that is moving slowly)</w:t>
      </w:r>
      <w:r>
        <w:rPr>
          <w:rFonts w:ascii="Times New Roman" w:hAnsi="Times New Roman" w:cs="Times New Roman"/>
          <w:lang w:val="en-US" w:eastAsia="en-US"/>
        </w:rPr>
        <w:t xml:space="preserve">, we think it is beneficial for the </w:t>
      </w:r>
      <w:r w:rsidR="00064037">
        <w:rPr>
          <w:rFonts w:ascii="Times New Roman" w:hAnsi="Times New Roman" w:cs="Times New Roman"/>
          <w:lang w:val="en-US" w:eastAsia="en-US"/>
        </w:rPr>
        <w:t>normal</w:t>
      </w:r>
      <w:r>
        <w:rPr>
          <w:rFonts w:ascii="Times New Roman" w:hAnsi="Times New Roman" w:cs="Times New Roman"/>
          <w:lang w:val="en-US" w:eastAsia="en-US"/>
        </w:rPr>
        <w:t>-mobility UE to relax</w:t>
      </w:r>
      <w:r w:rsidR="003B6D98">
        <w:rPr>
          <w:rFonts w:ascii="Times New Roman" w:hAnsi="Times New Roman" w:cs="Times New Roman"/>
          <w:lang w:val="en-US" w:eastAsia="en-US"/>
        </w:rPr>
        <w:t xml:space="preserve"> the neighbor cell measurement </w:t>
      </w:r>
      <w:r w:rsidR="002D55AD">
        <w:rPr>
          <w:rFonts w:ascii="Times New Roman" w:hAnsi="Times New Roman" w:cs="Times New Roman"/>
          <w:lang w:val="en-US" w:eastAsia="en-US"/>
        </w:rPr>
        <w:t>even if it is at cell edge.</w:t>
      </w:r>
      <w:r w:rsidR="00517342">
        <w:rPr>
          <w:rFonts w:ascii="Times New Roman" w:hAnsi="Times New Roman" w:cs="Times New Roman"/>
          <w:lang w:val="en-US" w:eastAsia="en-US"/>
        </w:rPr>
        <w:t xml:space="preserve"> </w:t>
      </w:r>
      <w:r w:rsidR="00AE6D88">
        <w:rPr>
          <w:rFonts w:ascii="Times New Roman" w:hAnsi="Times New Roman" w:cs="Times New Roman"/>
          <w:lang w:val="en-US" w:eastAsia="en-US"/>
        </w:rPr>
        <w:t xml:space="preserve">This is independent from previous section's discussion for high mobility UE. </w:t>
      </w:r>
      <w:r w:rsidR="00517342">
        <w:rPr>
          <w:rFonts w:ascii="Times New Roman" w:hAnsi="Times New Roman" w:cs="Times New Roman"/>
          <w:lang w:val="en-US" w:eastAsia="en-US"/>
        </w:rPr>
        <w:t xml:space="preserve">To </w:t>
      </w:r>
      <w:r w:rsidR="00042C73">
        <w:rPr>
          <w:rFonts w:ascii="Times New Roman" w:hAnsi="Times New Roman" w:cs="Times New Roman"/>
          <w:lang w:val="en-US" w:eastAsia="en-US"/>
        </w:rPr>
        <w:t>allow</w:t>
      </w:r>
      <w:r w:rsidR="00517342">
        <w:rPr>
          <w:rFonts w:ascii="Times New Roman" w:hAnsi="Times New Roman" w:cs="Times New Roman"/>
          <w:lang w:val="en-US" w:eastAsia="en-US"/>
        </w:rPr>
        <w:t xml:space="preserve"> this, </w:t>
      </w:r>
      <w:r w:rsidR="00A37BDF">
        <w:rPr>
          <w:rFonts w:ascii="Times New Roman" w:hAnsi="Times New Roman" w:cs="Times New Roman"/>
          <w:lang w:val="en-US" w:eastAsia="en-US"/>
        </w:rPr>
        <w:t xml:space="preserve">another </w:t>
      </w:r>
      <w:r w:rsidR="00560351">
        <w:rPr>
          <w:rFonts w:ascii="Times New Roman" w:hAnsi="Times New Roman" w:cs="Times New Roman"/>
          <w:lang w:val="en-US" w:eastAsia="en-US"/>
        </w:rPr>
        <w:t>threshold S</w:t>
      </w:r>
      <w:r w:rsidR="00560351" w:rsidRPr="00560351">
        <w:rPr>
          <w:rFonts w:ascii="Times New Roman" w:hAnsi="Times New Roman" w:cs="Times New Roman"/>
          <w:vertAlign w:val="subscript"/>
          <w:lang w:val="en-US" w:eastAsia="en-US"/>
        </w:rPr>
        <w:t>3</w:t>
      </w:r>
      <w:r w:rsidR="00560351">
        <w:rPr>
          <w:rFonts w:ascii="Times New Roman" w:hAnsi="Times New Roman" w:cs="Times New Roman"/>
          <w:lang w:val="en-US" w:eastAsia="en-US"/>
        </w:rPr>
        <w:t>,</w:t>
      </w:r>
      <w:r w:rsidR="00A37BDF">
        <w:rPr>
          <w:rFonts w:ascii="Times New Roman" w:hAnsi="Times New Roman" w:cs="Times New Roman"/>
          <w:lang w:val="en-US" w:eastAsia="en-US"/>
        </w:rPr>
        <w:t xml:space="preserve"> which is lower than S</w:t>
      </w:r>
      <w:r w:rsidR="00A37BDF" w:rsidRPr="00560351">
        <w:rPr>
          <w:rFonts w:ascii="Times New Roman" w:hAnsi="Times New Roman" w:cs="Times New Roman"/>
          <w:vertAlign w:val="subscript"/>
          <w:lang w:val="en-US" w:eastAsia="en-US"/>
        </w:rPr>
        <w:t>1</w:t>
      </w:r>
      <w:r w:rsidR="00A37BDF">
        <w:rPr>
          <w:rFonts w:ascii="Times New Roman" w:hAnsi="Times New Roman" w:cs="Times New Roman"/>
          <w:lang w:val="en-US" w:eastAsia="en-US"/>
        </w:rPr>
        <w:t xml:space="preserve"> can be introduced for the </w:t>
      </w:r>
      <w:r w:rsidR="009669E6">
        <w:rPr>
          <w:rFonts w:ascii="Times New Roman" w:hAnsi="Times New Roman" w:cs="Times New Roman"/>
          <w:lang w:val="en-US" w:eastAsia="en-US"/>
        </w:rPr>
        <w:t>normal</w:t>
      </w:r>
      <w:r w:rsidR="00A37BDF">
        <w:rPr>
          <w:rFonts w:ascii="Times New Roman" w:hAnsi="Times New Roman" w:cs="Times New Roman"/>
          <w:lang w:val="en-US" w:eastAsia="en-US"/>
        </w:rPr>
        <w:t>-mobility UE</w:t>
      </w:r>
      <w:r w:rsidR="00ED624C">
        <w:rPr>
          <w:rFonts w:ascii="Times New Roman" w:hAnsi="Times New Roman" w:cs="Times New Roman"/>
          <w:lang w:val="en-US" w:eastAsia="en-US"/>
        </w:rPr>
        <w:t xml:space="preserve">, as shown in </w:t>
      </w:r>
      <w:r w:rsidR="00526DFA">
        <w:rPr>
          <w:rFonts w:ascii="Times New Roman" w:hAnsi="Times New Roman" w:cs="Times New Roman"/>
          <w:lang w:val="en-US" w:eastAsia="en-US"/>
        </w:rPr>
        <w:t>F</w:t>
      </w:r>
      <w:r w:rsidR="00ED624C">
        <w:rPr>
          <w:rFonts w:ascii="Times New Roman" w:hAnsi="Times New Roman" w:cs="Times New Roman"/>
          <w:lang w:val="en-US" w:eastAsia="en-US"/>
        </w:rPr>
        <w:t>igure 4.</w:t>
      </w:r>
      <w:r w:rsidR="00A37BDF">
        <w:rPr>
          <w:rFonts w:ascii="Times New Roman" w:hAnsi="Times New Roman" w:cs="Times New Roman"/>
          <w:lang w:val="en-US" w:eastAsia="en-US"/>
        </w:rPr>
        <w:t xml:space="preserve"> </w:t>
      </w:r>
      <w:r w:rsidR="00560351">
        <w:rPr>
          <w:rFonts w:ascii="Times New Roman" w:hAnsi="Times New Roman" w:cs="Times New Roman"/>
          <w:lang w:val="en-US" w:eastAsia="en-US"/>
        </w:rPr>
        <w:t>Then if the serving cell quality is higher than S</w:t>
      </w:r>
      <w:r w:rsidR="00560351" w:rsidRPr="003D43DD">
        <w:rPr>
          <w:rFonts w:ascii="Times New Roman" w:hAnsi="Times New Roman" w:cs="Times New Roman"/>
          <w:vertAlign w:val="subscript"/>
          <w:lang w:val="en-US" w:eastAsia="en-US"/>
        </w:rPr>
        <w:t>3</w:t>
      </w:r>
      <w:r w:rsidR="00560351">
        <w:rPr>
          <w:rFonts w:ascii="Times New Roman" w:hAnsi="Times New Roman" w:cs="Times New Roman"/>
          <w:lang w:val="en-US" w:eastAsia="en-US"/>
        </w:rPr>
        <w:t xml:space="preserve"> but lower than S</w:t>
      </w:r>
      <w:r w:rsidR="00560351" w:rsidRPr="003D43DD">
        <w:rPr>
          <w:rFonts w:ascii="Times New Roman" w:hAnsi="Times New Roman" w:cs="Times New Roman"/>
          <w:vertAlign w:val="subscript"/>
          <w:lang w:val="en-US" w:eastAsia="en-US"/>
        </w:rPr>
        <w:t>1</w:t>
      </w:r>
      <w:r w:rsidR="00560351">
        <w:rPr>
          <w:rFonts w:ascii="Times New Roman" w:hAnsi="Times New Roman" w:cs="Times New Roman"/>
          <w:lang w:val="en-US" w:eastAsia="en-US"/>
        </w:rPr>
        <w:t xml:space="preserve">, </w:t>
      </w:r>
      <w:r w:rsidR="0084591D">
        <w:rPr>
          <w:rFonts w:ascii="Times New Roman" w:hAnsi="Times New Roman" w:cs="Times New Roman"/>
          <w:lang w:val="en-US" w:eastAsia="en-US"/>
        </w:rPr>
        <w:t xml:space="preserve">the </w:t>
      </w:r>
      <w:r w:rsidR="001772F9">
        <w:rPr>
          <w:rFonts w:ascii="Times New Roman" w:hAnsi="Times New Roman" w:cs="Times New Roman"/>
          <w:lang w:val="en-US" w:eastAsia="en-US"/>
        </w:rPr>
        <w:t>normal</w:t>
      </w:r>
      <w:r w:rsidR="0084591D">
        <w:rPr>
          <w:rFonts w:ascii="Times New Roman" w:hAnsi="Times New Roman" w:cs="Times New Roman"/>
          <w:lang w:val="en-US" w:eastAsia="en-US"/>
        </w:rPr>
        <w:t xml:space="preserve">-mobility UE can perform the neighbor cell measurement with relaxed measurement </w:t>
      </w:r>
      <w:r w:rsidR="003D43DD">
        <w:rPr>
          <w:rFonts w:ascii="Times New Roman" w:hAnsi="Times New Roman" w:cs="Times New Roman"/>
          <w:lang w:val="en-US" w:eastAsia="en-US"/>
        </w:rPr>
        <w:t>requirement</w:t>
      </w:r>
      <w:r w:rsidR="00783CAF">
        <w:rPr>
          <w:rFonts w:ascii="Times New Roman" w:hAnsi="Times New Roman" w:cs="Times New Roman"/>
          <w:lang w:val="en-US" w:eastAsia="en-US"/>
        </w:rPr>
        <w:t>s</w:t>
      </w:r>
      <w:r w:rsidR="001A374B">
        <w:rPr>
          <w:rFonts w:ascii="Times New Roman" w:hAnsi="Times New Roman" w:cs="Times New Roman"/>
          <w:lang w:val="en-US" w:eastAsia="en-US"/>
        </w:rPr>
        <w:t xml:space="preserve"> (</w:t>
      </w:r>
      <w:r w:rsidR="0026738B">
        <w:rPr>
          <w:rFonts w:ascii="Times New Roman" w:hAnsi="Times New Roman" w:cs="Times New Roman"/>
          <w:lang w:val="en-US" w:eastAsia="en-US"/>
        </w:rPr>
        <w:t>less-frequent measurement</w:t>
      </w:r>
      <w:r w:rsidR="00377DAF">
        <w:rPr>
          <w:rFonts w:ascii="Times New Roman" w:hAnsi="Times New Roman" w:cs="Times New Roman"/>
          <w:lang w:val="en-US" w:eastAsia="en-US"/>
        </w:rPr>
        <w:t>s</w:t>
      </w:r>
      <w:r w:rsidR="001A374B">
        <w:rPr>
          <w:rFonts w:ascii="Times New Roman" w:hAnsi="Times New Roman" w:cs="Times New Roman"/>
          <w:lang w:val="en-US" w:eastAsia="en-US"/>
        </w:rPr>
        <w:t>)</w:t>
      </w:r>
      <w:r w:rsidR="008A7B10">
        <w:rPr>
          <w:rFonts w:ascii="Times New Roman" w:hAnsi="Times New Roman" w:cs="Times New Roman"/>
          <w:lang w:val="en-US" w:eastAsia="en-US"/>
        </w:rPr>
        <w:t>; otherwise</w:t>
      </w:r>
      <w:r w:rsidR="009828D2">
        <w:rPr>
          <w:rFonts w:ascii="Times New Roman" w:hAnsi="Times New Roman" w:cs="Times New Roman"/>
          <w:lang w:val="en-US" w:eastAsia="en-US"/>
        </w:rPr>
        <w:t xml:space="preserve"> if the serving cell quality is lower than S</w:t>
      </w:r>
      <w:r w:rsidR="009828D2" w:rsidRPr="009828D2">
        <w:rPr>
          <w:rFonts w:ascii="Times New Roman" w:hAnsi="Times New Roman" w:cs="Times New Roman"/>
          <w:vertAlign w:val="subscript"/>
          <w:lang w:val="en-US" w:eastAsia="en-US"/>
        </w:rPr>
        <w:t>3</w:t>
      </w:r>
      <w:r w:rsidR="00AC5B8E">
        <w:rPr>
          <w:rFonts w:ascii="Times New Roman" w:hAnsi="Times New Roman" w:cs="Times New Roman"/>
          <w:lang w:val="en-US" w:eastAsia="en-US"/>
        </w:rPr>
        <w:t xml:space="preserve">, the </w:t>
      </w:r>
      <w:r w:rsidR="00754402">
        <w:rPr>
          <w:rFonts w:ascii="Times New Roman" w:hAnsi="Times New Roman" w:cs="Times New Roman"/>
          <w:lang w:val="en-US" w:eastAsia="en-US"/>
        </w:rPr>
        <w:t>normal</w:t>
      </w:r>
      <w:r w:rsidR="00AC5B8E">
        <w:rPr>
          <w:rFonts w:ascii="Times New Roman" w:hAnsi="Times New Roman" w:cs="Times New Roman"/>
          <w:lang w:val="en-US" w:eastAsia="en-US"/>
        </w:rPr>
        <w:t xml:space="preserve">-mobility UE has to perform the neighbor cell measurement </w:t>
      </w:r>
      <w:r w:rsidR="001A374B">
        <w:rPr>
          <w:rFonts w:ascii="Times New Roman" w:hAnsi="Times New Roman" w:cs="Times New Roman"/>
          <w:lang w:val="en-US" w:eastAsia="en-US"/>
        </w:rPr>
        <w:t>with the regular</w:t>
      </w:r>
      <w:r w:rsidR="00AC5B8E">
        <w:rPr>
          <w:rFonts w:ascii="Times New Roman" w:hAnsi="Times New Roman" w:cs="Times New Roman"/>
          <w:lang w:val="en-US" w:eastAsia="en-US"/>
        </w:rPr>
        <w:t xml:space="preserve"> measurement requirements. </w:t>
      </w:r>
      <w:r w:rsidR="00AE6D88">
        <w:rPr>
          <w:rFonts w:ascii="Times New Roman" w:hAnsi="Times New Roman" w:cs="Times New Roman"/>
          <w:lang w:val="en-US" w:eastAsia="en-US"/>
        </w:rPr>
        <w:t>N</w:t>
      </w:r>
      <w:r w:rsidR="00854F1E">
        <w:rPr>
          <w:rFonts w:ascii="Times New Roman" w:hAnsi="Times New Roman" w:cs="Times New Roman"/>
          <w:lang w:val="en-US" w:eastAsia="en-US"/>
        </w:rPr>
        <w:t xml:space="preserve">ote that the example illustrated in Figure 4 </w:t>
      </w:r>
      <w:r w:rsidR="00AE6D88">
        <w:rPr>
          <w:rFonts w:ascii="Times New Roman" w:hAnsi="Times New Roman" w:cs="Times New Roman"/>
          <w:lang w:val="en-US" w:eastAsia="en-US"/>
        </w:rPr>
        <w:t>intend</w:t>
      </w:r>
      <w:r w:rsidR="00A07BB2">
        <w:rPr>
          <w:rFonts w:ascii="Times New Roman" w:hAnsi="Times New Roman" w:cs="Times New Roman"/>
          <w:lang w:val="en-US" w:eastAsia="en-US"/>
        </w:rPr>
        <w:t>s</w:t>
      </w:r>
      <w:r w:rsidR="00AE6D88">
        <w:rPr>
          <w:rFonts w:ascii="Times New Roman" w:hAnsi="Times New Roman" w:cs="Times New Roman"/>
          <w:lang w:val="en-US" w:eastAsia="en-US"/>
        </w:rPr>
        <w:t xml:space="preserve"> to explain the behavior of normal-mobility UE and it </w:t>
      </w:r>
      <w:r w:rsidR="00854F1E">
        <w:rPr>
          <w:rFonts w:ascii="Times New Roman" w:hAnsi="Times New Roman" w:cs="Times New Roman"/>
          <w:lang w:val="en-US" w:eastAsia="en-US"/>
        </w:rPr>
        <w:t xml:space="preserve">doesn’t take into account </w:t>
      </w:r>
      <w:r w:rsidR="00852270">
        <w:rPr>
          <w:rFonts w:ascii="Times New Roman" w:hAnsi="Times New Roman" w:cs="Times New Roman"/>
          <w:lang w:val="en-US" w:eastAsia="en-US"/>
        </w:rPr>
        <w:t xml:space="preserve">the </w:t>
      </w:r>
      <w:r w:rsidR="00854F1E">
        <w:rPr>
          <w:rFonts w:ascii="Times New Roman" w:hAnsi="Times New Roman" w:cs="Times New Roman"/>
          <w:lang w:val="en-US" w:eastAsia="en-US"/>
        </w:rPr>
        <w:t xml:space="preserve">proposal 2 </w:t>
      </w:r>
      <w:r w:rsidR="00AE6D88">
        <w:rPr>
          <w:rFonts w:ascii="Times New Roman" w:hAnsi="Times New Roman" w:cs="Times New Roman"/>
          <w:lang w:val="en-US" w:eastAsia="en-US"/>
        </w:rPr>
        <w:t>of high mobility UE.</w:t>
      </w:r>
    </w:p>
    <w:p w14:paraId="4DFD8164" w14:textId="3A9F9290" w:rsidR="00CA2C82" w:rsidRDefault="00586525" w:rsidP="00CA2C82">
      <w:pPr>
        <w:pStyle w:val="BodyText"/>
        <w:jc w:val="center"/>
        <w:rPr>
          <w:rFonts w:ascii="Times New Roman" w:hAnsi="Times New Roman" w:cs="Times New Roman"/>
          <w:lang w:val="en-US" w:eastAsia="en-US"/>
        </w:rPr>
      </w:pPr>
      <w:r>
        <w:object w:dxaOrig="7149" w:dyaOrig="5589" w14:anchorId="10D7C890">
          <v:shape id="_x0000_i1028" type="#_x0000_t75" style="width:322.2pt;height:252pt" o:ole="">
            <v:imagedata r:id="rId19" o:title=""/>
          </v:shape>
          <o:OLEObject Type="Embed" ProgID="Visio.Drawing.15" ShapeID="_x0000_i1028" DrawAspect="Content" ObjectID="_1634648668" r:id="rId20"/>
        </w:object>
      </w:r>
    </w:p>
    <w:p w14:paraId="1159AB27" w14:textId="77777777" w:rsidR="00CA2C82" w:rsidRDefault="00CA2C82" w:rsidP="00CA2C82">
      <w:pPr>
        <w:pStyle w:val="BodyText"/>
        <w:jc w:val="center"/>
        <w:rPr>
          <w:rFonts w:ascii="Times New Roman" w:hAnsi="Times New Roman" w:cs="Times New Roman"/>
          <w:lang w:val="en-US" w:eastAsia="en-US"/>
        </w:rPr>
      </w:pPr>
      <w:r w:rsidRPr="009C290F">
        <w:rPr>
          <w:rFonts w:ascii="Times New Roman" w:hAnsi="Times New Roman"/>
          <w:sz w:val="20"/>
          <w:szCs w:val="20"/>
        </w:rPr>
        <w:t xml:space="preserve">Figure </w:t>
      </w:r>
      <w:r>
        <w:rPr>
          <w:rFonts w:ascii="Times New Roman" w:hAnsi="Times New Roman"/>
          <w:sz w:val="20"/>
          <w:szCs w:val="20"/>
        </w:rPr>
        <w:t>4</w:t>
      </w:r>
      <w:r w:rsidRPr="009C290F">
        <w:rPr>
          <w:rFonts w:ascii="Times New Roman" w:hAnsi="Times New Roman"/>
          <w:sz w:val="20"/>
          <w:szCs w:val="20"/>
        </w:rPr>
        <w:t xml:space="preserve">. </w:t>
      </w:r>
      <w:r>
        <w:rPr>
          <w:rFonts w:ascii="Times New Roman" w:hAnsi="Times New Roman"/>
          <w:sz w:val="20"/>
          <w:szCs w:val="20"/>
        </w:rPr>
        <w:t>The normal-mobility UE is allowed to relax the intra-frequency measurement, if the serving cell quality is above S</w:t>
      </w:r>
      <w:r w:rsidRPr="00EA765C">
        <w:rPr>
          <w:rFonts w:ascii="Times New Roman" w:hAnsi="Times New Roman"/>
          <w:sz w:val="20"/>
          <w:szCs w:val="20"/>
          <w:vertAlign w:val="subscript"/>
        </w:rPr>
        <w:t>3</w:t>
      </w:r>
      <w:r>
        <w:rPr>
          <w:rFonts w:ascii="Times New Roman" w:hAnsi="Times New Roman"/>
          <w:sz w:val="20"/>
          <w:szCs w:val="20"/>
        </w:rPr>
        <w:t xml:space="preserve"> but below S</w:t>
      </w:r>
      <w:r w:rsidRPr="00EA765C">
        <w:rPr>
          <w:rFonts w:ascii="Times New Roman" w:hAnsi="Times New Roman"/>
          <w:sz w:val="20"/>
          <w:szCs w:val="20"/>
          <w:vertAlign w:val="subscript"/>
        </w:rPr>
        <w:t>1</w:t>
      </w:r>
      <w:r>
        <w:rPr>
          <w:rFonts w:ascii="Times New Roman" w:hAnsi="Times New Roman"/>
          <w:sz w:val="20"/>
          <w:szCs w:val="20"/>
        </w:rPr>
        <w:t>.</w:t>
      </w:r>
    </w:p>
    <w:p w14:paraId="05E31934" w14:textId="77777777" w:rsidR="00452462" w:rsidRDefault="00452462" w:rsidP="009B7CE6">
      <w:pPr>
        <w:pStyle w:val="BodyText"/>
        <w:rPr>
          <w:rFonts w:ascii="Times New Roman" w:hAnsi="Times New Roman" w:cs="Times New Roman"/>
          <w:lang w:val="en-US" w:eastAsia="en-US"/>
        </w:rPr>
      </w:pPr>
    </w:p>
    <w:p w14:paraId="6CC7C606" w14:textId="2EAB7C19" w:rsidR="00452462" w:rsidRDefault="005C629E" w:rsidP="009B7CE6">
      <w:pPr>
        <w:pStyle w:val="BodyText"/>
        <w:rPr>
          <w:rFonts w:ascii="Times New Roman" w:hAnsi="Times New Roman" w:cs="Times New Roman"/>
          <w:lang w:eastAsia="en-US"/>
        </w:rPr>
      </w:pPr>
      <w:r>
        <w:rPr>
          <w:rFonts w:ascii="Times New Roman" w:hAnsi="Times New Roman" w:cs="Times New Roman"/>
          <w:b/>
          <w:lang w:eastAsia="en-US"/>
        </w:rPr>
        <w:t xml:space="preserve">Proposal 3: Introduce another threshold that is lower than the threshold used to determine whether </w:t>
      </w:r>
      <w:proofErr w:type="gramStart"/>
      <w:r>
        <w:rPr>
          <w:rFonts w:ascii="Times New Roman" w:hAnsi="Times New Roman" w:cs="Times New Roman"/>
          <w:b/>
          <w:lang w:eastAsia="en-US"/>
        </w:rPr>
        <w:t>an</w:t>
      </w:r>
      <w:proofErr w:type="gramEnd"/>
      <w:r>
        <w:rPr>
          <w:rFonts w:ascii="Times New Roman" w:hAnsi="Times New Roman" w:cs="Times New Roman"/>
          <w:b/>
          <w:lang w:eastAsia="en-US"/>
        </w:rPr>
        <w:t xml:space="preserve"> normal-mobility UE is at cell edge or not. The normal-mobility UE can relax the neighbour cell measurement if the serving cell quality is above the new threshold.</w:t>
      </w:r>
    </w:p>
    <w:p w14:paraId="27D39268" w14:textId="4704C865" w:rsidR="005C629E" w:rsidRDefault="005C629E" w:rsidP="009B7CE6">
      <w:pPr>
        <w:pStyle w:val="BodyText"/>
        <w:rPr>
          <w:rFonts w:ascii="Times New Roman" w:hAnsi="Times New Roman" w:cs="Times New Roman"/>
          <w:lang w:eastAsia="en-US"/>
        </w:rPr>
      </w:pPr>
      <w:r>
        <w:rPr>
          <w:rFonts w:ascii="Times New Roman" w:hAnsi="Times New Roman" w:cs="Times New Roman"/>
          <w:lang w:eastAsia="en-US"/>
        </w:rPr>
        <w:t>When both proposal 2 and 3 are agreed, there will be</w:t>
      </w:r>
      <w:r w:rsidRPr="000F754A">
        <w:rPr>
          <w:rFonts w:ascii="Times New Roman" w:hAnsi="Times New Roman" w:cs="Times New Roman"/>
          <w:lang w:eastAsia="en-US"/>
        </w:rPr>
        <w:t xml:space="preserve"> a threshold S</w:t>
      </w:r>
      <w:r w:rsidRPr="000F754A">
        <w:rPr>
          <w:rFonts w:ascii="Times New Roman" w:hAnsi="Times New Roman" w:cs="Times New Roman"/>
          <w:vertAlign w:val="subscript"/>
          <w:lang w:eastAsia="en-US"/>
        </w:rPr>
        <w:t>1</w:t>
      </w:r>
      <w:r w:rsidRPr="000F754A">
        <w:rPr>
          <w:rFonts w:ascii="Times New Roman" w:hAnsi="Times New Roman" w:cs="Times New Roman"/>
          <w:lang w:eastAsia="en-US"/>
        </w:rPr>
        <w:t xml:space="preserve"> for all UEs, and </w:t>
      </w:r>
      <w:r>
        <w:rPr>
          <w:rFonts w:ascii="Times New Roman" w:hAnsi="Times New Roman" w:cs="Times New Roman"/>
          <w:lang w:eastAsia="en-US"/>
        </w:rPr>
        <w:t xml:space="preserve">there </w:t>
      </w:r>
      <w:r w:rsidRPr="000F754A">
        <w:rPr>
          <w:rFonts w:ascii="Times New Roman" w:hAnsi="Times New Roman" w:cs="Times New Roman"/>
          <w:lang w:eastAsia="en-US"/>
        </w:rPr>
        <w:t xml:space="preserve">will </w:t>
      </w:r>
      <w:r>
        <w:rPr>
          <w:rFonts w:ascii="Times New Roman" w:hAnsi="Times New Roman" w:cs="Times New Roman"/>
          <w:lang w:eastAsia="en-US"/>
        </w:rPr>
        <w:t xml:space="preserve">be </w:t>
      </w:r>
      <w:r w:rsidRPr="000F754A">
        <w:rPr>
          <w:rFonts w:ascii="Times New Roman" w:hAnsi="Times New Roman" w:cs="Times New Roman"/>
          <w:lang w:eastAsia="en-US"/>
        </w:rPr>
        <w:t xml:space="preserve">another threshold S3 </w:t>
      </w:r>
      <w:r>
        <w:rPr>
          <w:rFonts w:ascii="Times New Roman" w:hAnsi="Times New Roman" w:cs="Times New Roman"/>
          <w:lang w:eastAsia="en-US"/>
        </w:rPr>
        <w:t xml:space="preserve">only </w:t>
      </w:r>
      <w:r w:rsidRPr="000F754A">
        <w:rPr>
          <w:rFonts w:ascii="Times New Roman" w:hAnsi="Times New Roman" w:cs="Times New Roman"/>
          <w:lang w:eastAsia="en-US"/>
        </w:rPr>
        <w:t>for the normal-mobility UE. Then if the high-mobility UE is above S</w:t>
      </w:r>
      <w:r w:rsidRPr="00B90E26">
        <w:rPr>
          <w:rFonts w:ascii="Times New Roman" w:hAnsi="Times New Roman" w:cs="Times New Roman"/>
          <w:vertAlign w:val="subscript"/>
          <w:lang w:eastAsia="en-US"/>
        </w:rPr>
        <w:t>1</w:t>
      </w:r>
      <w:r w:rsidRPr="000F754A">
        <w:rPr>
          <w:rFonts w:ascii="Times New Roman" w:hAnsi="Times New Roman" w:cs="Times New Roman"/>
          <w:lang w:eastAsia="en-US"/>
        </w:rPr>
        <w:t>, the high-mobility UE still needs to perform neighbour cell measurement. If the normal-/medium-mobility UE is above S</w:t>
      </w:r>
      <w:r w:rsidRPr="00B90E26">
        <w:rPr>
          <w:rFonts w:ascii="Times New Roman" w:hAnsi="Times New Roman" w:cs="Times New Roman"/>
          <w:vertAlign w:val="subscript"/>
          <w:lang w:eastAsia="en-US"/>
        </w:rPr>
        <w:t>1</w:t>
      </w:r>
      <w:r w:rsidRPr="000F754A">
        <w:rPr>
          <w:rFonts w:ascii="Times New Roman" w:hAnsi="Times New Roman" w:cs="Times New Roman"/>
          <w:lang w:eastAsia="en-US"/>
        </w:rPr>
        <w:t>, the normal-/medium-mobility UE doesn’t have to perform the neighbour cell measurement. If the normal-mobility UE is above S</w:t>
      </w:r>
      <w:r w:rsidRPr="00B90E26">
        <w:rPr>
          <w:rFonts w:ascii="Times New Roman" w:hAnsi="Times New Roman" w:cs="Times New Roman"/>
          <w:vertAlign w:val="subscript"/>
          <w:lang w:eastAsia="en-US"/>
        </w:rPr>
        <w:t>3</w:t>
      </w:r>
      <w:r w:rsidRPr="000F754A">
        <w:rPr>
          <w:rFonts w:ascii="Times New Roman" w:hAnsi="Times New Roman" w:cs="Times New Roman"/>
          <w:lang w:eastAsia="en-US"/>
        </w:rPr>
        <w:t xml:space="preserve"> and below S</w:t>
      </w:r>
      <w:r w:rsidRPr="00B90E26">
        <w:rPr>
          <w:rFonts w:ascii="Times New Roman" w:hAnsi="Times New Roman" w:cs="Times New Roman"/>
          <w:vertAlign w:val="subscript"/>
          <w:lang w:eastAsia="en-US"/>
        </w:rPr>
        <w:t>1</w:t>
      </w:r>
      <w:r w:rsidRPr="000F754A">
        <w:rPr>
          <w:rFonts w:ascii="Times New Roman" w:hAnsi="Times New Roman" w:cs="Times New Roman"/>
          <w:lang w:eastAsia="en-US"/>
        </w:rPr>
        <w:t>, the normal-mobility UE can relax its neighbour cell measurement</w:t>
      </w:r>
      <w:r>
        <w:rPr>
          <w:rFonts w:ascii="Times New Roman" w:hAnsi="Times New Roman" w:cs="Times New Roman"/>
          <w:lang w:eastAsia="en-US"/>
        </w:rPr>
        <w:t>.</w:t>
      </w:r>
    </w:p>
    <w:p w14:paraId="1D889A0B" w14:textId="77777777" w:rsidR="00452462" w:rsidRDefault="00452462" w:rsidP="009B7CE6">
      <w:pPr>
        <w:pStyle w:val="BodyText"/>
        <w:rPr>
          <w:rFonts w:ascii="Times New Roman" w:hAnsi="Times New Roman" w:cs="Times New Roman"/>
          <w:lang w:val="en-US" w:eastAsia="en-US"/>
        </w:rPr>
      </w:pPr>
    </w:p>
    <w:p w14:paraId="55947138" w14:textId="7DBD3900" w:rsidR="00C609B9" w:rsidRPr="002202E1" w:rsidRDefault="00C609B9" w:rsidP="00C609B9">
      <w:pPr>
        <w:pStyle w:val="Heading1"/>
        <w:rPr>
          <w:lang w:val="en-US"/>
        </w:rPr>
      </w:pPr>
      <w:r w:rsidRPr="002202E1">
        <w:rPr>
          <w:lang w:val="en-US"/>
        </w:rPr>
        <w:t>Conclusion</w:t>
      </w:r>
    </w:p>
    <w:p w14:paraId="3AC864CF" w14:textId="6D1C65FF" w:rsidR="00C609B9" w:rsidRPr="00AE46C9" w:rsidRDefault="00C609B9" w:rsidP="00C609B9">
      <w:pPr>
        <w:pStyle w:val="BodyText"/>
        <w:rPr>
          <w:rFonts w:ascii="Times New Roman" w:hAnsi="Times New Roman" w:cs="Times New Roman"/>
          <w:lang w:eastAsia="en-US"/>
        </w:rPr>
      </w:pPr>
      <w:r w:rsidRPr="00AE46C9">
        <w:rPr>
          <w:rFonts w:ascii="Times New Roman" w:hAnsi="Times New Roman" w:cs="Times New Roman"/>
          <w:lang w:eastAsia="en-US"/>
        </w:rPr>
        <w:t xml:space="preserve">In this paper, </w:t>
      </w:r>
      <w:r w:rsidR="00F33BAD" w:rsidRPr="00AE46C9">
        <w:rPr>
          <w:rFonts w:ascii="Times New Roman" w:hAnsi="Times New Roman" w:cs="Times New Roman"/>
          <w:lang w:eastAsia="en-US"/>
        </w:rPr>
        <w:t xml:space="preserve">we discuss the </w:t>
      </w:r>
      <w:r w:rsidR="00BC6430">
        <w:rPr>
          <w:rFonts w:ascii="Times New Roman" w:hAnsi="Times New Roman" w:cs="Times New Roman"/>
          <w:lang w:eastAsia="en-US"/>
        </w:rPr>
        <w:t>potential</w:t>
      </w:r>
      <w:r w:rsidR="000337D8">
        <w:rPr>
          <w:rFonts w:ascii="Times New Roman" w:hAnsi="Times New Roman" w:cs="Times New Roman"/>
          <w:lang w:eastAsia="en-US"/>
        </w:rPr>
        <w:t xml:space="preserve"> problems for the UE measurement relaxation agreements made in RAN2#107, and have the following observation</w:t>
      </w:r>
      <w:r w:rsidR="00D94C47">
        <w:rPr>
          <w:rFonts w:ascii="Times New Roman" w:hAnsi="Times New Roman" w:cs="Times New Roman"/>
          <w:lang w:eastAsia="en-US"/>
        </w:rPr>
        <w:t>s</w:t>
      </w:r>
      <w:r w:rsidR="000337D8">
        <w:rPr>
          <w:rFonts w:ascii="Times New Roman" w:hAnsi="Times New Roman" w:cs="Times New Roman"/>
          <w:lang w:eastAsia="en-US"/>
        </w:rPr>
        <w:t xml:space="preserve">. </w:t>
      </w:r>
    </w:p>
    <w:p w14:paraId="35934E7D" w14:textId="21E73355" w:rsidR="00224EEF" w:rsidRPr="00224EEF" w:rsidRDefault="00224EEF" w:rsidP="00224EEF">
      <w:pPr>
        <w:rPr>
          <w:rFonts w:ascii="Times New Roman" w:hAnsi="Times New Roman"/>
        </w:rPr>
      </w:pPr>
      <w:r w:rsidRPr="006F2A1A">
        <w:rPr>
          <w:rFonts w:ascii="Times New Roman" w:hAnsi="Times New Roman" w:cs="Times New Roman"/>
          <w:b/>
          <w:lang w:eastAsia="en-US"/>
        </w:rPr>
        <w:t xml:space="preserve">Observation 1: </w:t>
      </w:r>
      <w:r>
        <w:rPr>
          <w:rFonts w:ascii="Times New Roman" w:hAnsi="Times New Roman" w:cs="Times New Roman"/>
          <w:b/>
          <w:lang w:eastAsia="en-US"/>
        </w:rPr>
        <w:t>The LTE relaxed monitoring criteria in TS 36.304 is mainly used to determine whether an UE is stationary or not</w:t>
      </w:r>
      <w:r w:rsidRPr="006F2A1A">
        <w:rPr>
          <w:rFonts w:ascii="Times New Roman" w:hAnsi="Times New Roman" w:cs="Times New Roman"/>
          <w:b/>
          <w:lang w:eastAsia="en-US"/>
        </w:rPr>
        <w:t>.</w:t>
      </w:r>
    </w:p>
    <w:p w14:paraId="1775FCB9" w14:textId="03C49112" w:rsidR="002E073A" w:rsidRPr="006F2A1A" w:rsidRDefault="005A6E1D" w:rsidP="002E073A">
      <w:pPr>
        <w:pStyle w:val="BodyText"/>
        <w:rPr>
          <w:rFonts w:ascii="Times New Roman" w:hAnsi="Times New Roman" w:cs="Times New Roman"/>
          <w:lang w:eastAsia="en-US"/>
        </w:rPr>
      </w:pPr>
      <w:r w:rsidRPr="006F2A1A">
        <w:rPr>
          <w:rFonts w:ascii="Times New Roman" w:hAnsi="Times New Roman" w:cs="Times New Roman"/>
          <w:b/>
          <w:lang w:eastAsia="en-US"/>
        </w:rPr>
        <w:t xml:space="preserve">Observation </w:t>
      </w:r>
      <w:r w:rsidR="00224EEF">
        <w:rPr>
          <w:rFonts w:ascii="Times New Roman" w:hAnsi="Times New Roman" w:cs="Times New Roman"/>
          <w:b/>
          <w:lang w:eastAsia="en-US"/>
        </w:rPr>
        <w:t>2</w:t>
      </w:r>
      <w:r w:rsidRPr="006F2A1A">
        <w:rPr>
          <w:rFonts w:ascii="Times New Roman" w:hAnsi="Times New Roman" w:cs="Times New Roman"/>
          <w:b/>
          <w:lang w:eastAsia="en-US"/>
        </w:rPr>
        <w:t xml:space="preserve">: </w:t>
      </w:r>
      <w:r>
        <w:rPr>
          <w:rFonts w:ascii="Times New Roman" w:hAnsi="Times New Roman" w:cs="Times New Roman"/>
          <w:b/>
          <w:lang w:eastAsia="en-US"/>
        </w:rPr>
        <w:t>Allowing a high-mobility UE to skip the neighbour cell measurement can negatively impact the UE mobility performance.</w:t>
      </w:r>
    </w:p>
    <w:p w14:paraId="1E0F3015" w14:textId="4A45601D" w:rsidR="00F33BAD" w:rsidRPr="002E073A" w:rsidRDefault="002E073A" w:rsidP="00F33BAD">
      <w:pPr>
        <w:pStyle w:val="BodyText"/>
        <w:rPr>
          <w:rFonts w:ascii="Times New Roman" w:hAnsi="Times New Roman" w:cs="Times New Roman"/>
          <w:lang w:eastAsia="en-US"/>
        </w:rPr>
      </w:pPr>
      <w:r>
        <w:rPr>
          <w:rFonts w:ascii="Times New Roman" w:hAnsi="Times New Roman" w:cs="Times New Roman"/>
          <w:lang w:eastAsia="en-US"/>
        </w:rPr>
        <w:t>Based on the observation</w:t>
      </w:r>
      <w:r w:rsidR="006B369F">
        <w:rPr>
          <w:rFonts w:ascii="Times New Roman" w:hAnsi="Times New Roman" w:cs="Times New Roman"/>
          <w:lang w:eastAsia="en-US"/>
        </w:rPr>
        <w:t>s</w:t>
      </w:r>
      <w:r>
        <w:rPr>
          <w:rFonts w:ascii="Times New Roman" w:hAnsi="Times New Roman" w:cs="Times New Roman"/>
          <w:lang w:eastAsia="en-US"/>
        </w:rPr>
        <w:t xml:space="preserve">, RAN2 is </w:t>
      </w:r>
      <w:r w:rsidR="006B369F">
        <w:rPr>
          <w:rFonts w:ascii="Times New Roman" w:hAnsi="Times New Roman" w:cs="Times New Roman"/>
          <w:lang w:eastAsia="en-US"/>
        </w:rPr>
        <w:t>respectfully</w:t>
      </w:r>
      <w:r>
        <w:rPr>
          <w:rFonts w:ascii="Times New Roman" w:hAnsi="Times New Roman" w:cs="Times New Roman"/>
          <w:lang w:eastAsia="en-US"/>
        </w:rPr>
        <w:t xml:space="preserve"> asked to discuss and consider the following proposals.</w:t>
      </w:r>
    </w:p>
    <w:p w14:paraId="4373EC7A" w14:textId="3F30E35B" w:rsidR="002E073A" w:rsidRDefault="006C1F10" w:rsidP="002E073A">
      <w:pPr>
        <w:pStyle w:val="BodyText"/>
        <w:rPr>
          <w:rFonts w:ascii="Times New Roman" w:hAnsi="Times New Roman" w:cs="Times New Roman"/>
          <w:b/>
          <w:lang w:eastAsia="en-US"/>
        </w:rPr>
      </w:pPr>
      <w:r w:rsidRPr="006F2A1A">
        <w:rPr>
          <w:rFonts w:ascii="Times New Roman" w:hAnsi="Times New Roman" w:cs="Times New Roman"/>
          <w:b/>
          <w:lang w:eastAsia="en-US"/>
        </w:rPr>
        <w:t xml:space="preserve">Proposal 1: </w:t>
      </w:r>
      <w:r>
        <w:rPr>
          <w:rFonts w:ascii="Times New Roman" w:hAnsi="Times New Roman" w:cs="Times New Roman"/>
          <w:b/>
          <w:lang w:eastAsia="en-US"/>
        </w:rPr>
        <w:t>The UE mobility state (high/medium/normal-mobility) is taken into account in evalua</w:t>
      </w:r>
      <w:bookmarkStart w:id="3" w:name="_GoBack"/>
      <w:bookmarkEnd w:id="3"/>
      <w:r>
        <w:rPr>
          <w:rFonts w:ascii="Times New Roman" w:hAnsi="Times New Roman" w:cs="Times New Roman"/>
          <w:b/>
          <w:lang w:eastAsia="en-US"/>
        </w:rPr>
        <w:t>ting the measurement relaxation criteria.</w:t>
      </w:r>
    </w:p>
    <w:p w14:paraId="243597D4" w14:textId="762EB693" w:rsidR="00BD1217" w:rsidRPr="00682E35" w:rsidRDefault="00BD1217" w:rsidP="000D59C7">
      <w:pPr>
        <w:pStyle w:val="BodyText"/>
        <w:rPr>
          <w:rFonts w:ascii="Times New Roman" w:hAnsi="Times New Roman" w:cs="Times New Roman"/>
          <w:lang w:eastAsia="en-US"/>
        </w:rPr>
      </w:pPr>
      <w:r>
        <w:rPr>
          <w:rFonts w:ascii="Times New Roman" w:hAnsi="Times New Roman" w:cs="Times New Roman"/>
          <w:b/>
          <w:lang w:eastAsia="en-US"/>
        </w:rPr>
        <w:t>Proposal 2: The high-mobility UE shall still perform the neighbour cell measurement even if it is not at the cell edge.</w:t>
      </w:r>
    </w:p>
    <w:p w14:paraId="7A407146" w14:textId="5DEBD793" w:rsidR="00445754" w:rsidRPr="002E073A" w:rsidRDefault="00445754" w:rsidP="000D59C7">
      <w:pPr>
        <w:pStyle w:val="BodyText"/>
        <w:rPr>
          <w:rFonts w:ascii="Times New Roman" w:hAnsi="Times New Roman" w:cs="Times New Roman"/>
          <w:b/>
          <w:lang w:eastAsia="en-US"/>
        </w:rPr>
      </w:pPr>
      <w:r>
        <w:rPr>
          <w:rFonts w:ascii="Times New Roman" w:hAnsi="Times New Roman" w:cs="Times New Roman"/>
          <w:b/>
          <w:lang w:eastAsia="en-US"/>
        </w:rPr>
        <w:lastRenderedPageBreak/>
        <w:t xml:space="preserve">Proposal 3: Introduce another threshold that is lower than the threshold used to determine whether </w:t>
      </w:r>
      <w:proofErr w:type="gramStart"/>
      <w:r>
        <w:rPr>
          <w:rFonts w:ascii="Times New Roman" w:hAnsi="Times New Roman" w:cs="Times New Roman"/>
          <w:b/>
          <w:lang w:eastAsia="en-US"/>
        </w:rPr>
        <w:t>an</w:t>
      </w:r>
      <w:proofErr w:type="gramEnd"/>
      <w:r>
        <w:rPr>
          <w:rFonts w:ascii="Times New Roman" w:hAnsi="Times New Roman" w:cs="Times New Roman"/>
          <w:b/>
          <w:lang w:eastAsia="en-US"/>
        </w:rPr>
        <w:t xml:space="preserve"> </w:t>
      </w:r>
      <w:r w:rsidR="00763FF2">
        <w:rPr>
          <w:rFonts w:ascii="Times New Roman" w:hAnsi="Times New Roman" w:cs="Times New Roman"/>
          <w:b/>
          <w:lang w:eastAsia="en-US"/>
        </w:rPr>
        <w:t xml:space="preserve">normal-mobility </w:t>
      </w:r>
      <w:r>
        <w:rPr>
          <w:rFonts w:ascii="Times New Roman" w:hAnsi="Times New Roman" w:cs="Times New Roman"/>
          <w:b/>
          <w:lang w:eastAsia="en-US"/>
        </w:rPr>
        <w:t>UE is at cell edge or not. The normal-mobility UE can relax the neighbour cell measurement if the serving cell quality is above the new threshold.</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0DCE11BE" w14:textId="722F4610" w:rsidR="006B258C" w:rsidRDefault="001D6AB5" w:rsidP="009E3025">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Draft r</w:t>
      </w:r>
      <w:r w:rsidRPr="006D5398">
        <w:rPr>
          <w:rFonts w:ascii="Times New Roman" w:hAnsi="Times New Roman" w:cs="Times New Roman"/>
          <w:sz w:val="20"/>
          <w:szCs w:val="20"/>
          <w:lang w:eastAsia="en-US"/>
        </w:rPr>
        <w:t>eport of 3GPP TSG RAN WG2 meeting #10</w:t>
      </w:r>
      <w:r w:rsidR="00B247EA">
        <w:rPr>
          <w:rFonts w:ascii="Times New Roman" w:hAnsi="Times New Roman" w:cs="Times New Roman"/>
          <w:sz w:val="20"/>
          <w:szCs w:val="20"/>
          <w:lang w:eastAsia="en-US"/>
        </w:rPr>
        <w:t>7</w:t>
      </w:r>
      <w:r>
        <w:rPr>
          <w:rFonts w:ascii="Times New Roman" w:hAnsi="Times New Roman" w:cs="Times New Roman"/>
          <w:sz w:val="20"/>
          <w:szCs w:val="20"/>
          <w:lang w:eastAsia="en-US"/>
        </w:rPr>
        <w:t>.</w:t>
      </w:r>
    </w:p>
    <w:p w14:paraId="1A9FBFB6" w14:textId="6007DABE" w:rsidR="00CA6957" w:rsidRDefault="00CA6957" w:rsidP="009E3025">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Draft r</w:t>
      </w:r>
      <w:r w:rsidRPr="006D5398">
        <w:rPr>
          <w:rFonts w:ascii="Times New Roman" w:hAnsi="Times New Roman" w:cs="Times New Roman"/>
          <w:sz w:val="20"/>
          <w:szCs w:val="20"/>
          <w:lang w:eastAsia="en-US"/>
        </w:rPr>
        <w:t>eport of 3GPP TSG RAN WG2 meeting #10</w:t>
      </w:r>
      <w:r>
        <w:rPr>
          <w:rFonts w:ascii="Times New Roman" w:hAnsi="Times New Roman" w:cs="Times New Roman"/>
          <w:sz w:val="20"/>
          <w:szCs w:val="20"/>
          <w:lang w:eastAsia="en-US"/>
        </w:rPr>
        <w:t>7bis.</w:t>
      </w:r>
    </w:p>
    <w:p w14:paraId="7E7DF01F" w14:textId="439713EF" w:rsidR="00DB5F54" w:rsidRPr="00DB5F54" w:rsidRDefault="00B247EA" w:rsidP="00B247EA">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 xml:space="preserve">RP-191607, 3GPP™ Work Item Description: UE Power Saving </w:t>
      </w:r>
      <w:r w:rsidR="009D5922">
        <w:rPr>
          <w:rFonts w:ascii="Times New Roman" w:hAnsi="Times New Roman" w:cs="Times New Roman"/>
          <w:sz w:val="20"/>
          <w:szCs w:val="20"/>
          <w:lang w:eastAsia="en-US"/>
        </w:rPr>
        <w:t>in NR.</w:t>
      </w:r>
    </w:p>
    <w:sectPr w:rsidR="00DB5F54" w:rsidRPr="00DB5F54">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24DE5" w14:textId="77777777" w:rsidR="003F3ABE" w:rsidRDefault="003F3ABE">
      <w:r>
        <w:separator/>
      </w:r>
    </w:p>
  </w:endnote>
  <w:endnote w:type="continuationSeparator" w:id="0">
    <w:p w14:paraId="7B275E10" w14:textId="77777777" w:rsidR="003F3ABE" w:rsidRDefault="003F3ABE">
      <w:r>
        <w:continuationSeparator/>
      </w:r>
    </w:p>
  </w:endnote>
  <w:endnote w:type="continuationNotice" w:id="1">
    <w:p w14:paraId="1CE7697A" w14:textId="77777777" w:rsidR="003F3ABE" w:rsidRDefault="003F3A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230C321"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369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369F">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F0241" w14:textId="77777777" w:rsidR="003F3ABE" w:rsidRDefault="003F3ABE">
      <w:r>
        <w:separator/>
      </w:r>
    </w:p>
  </w:footnote>
  <w:footnote w:type="continuationSeparator" w:id="0">
    <w:p w14:paraId="6CDE407B" w14:textId="77777777" w:rsidR="003F3ABE" w:rsidRDefault="003F3ABE">
      <w:r>
        <w:continuationSeparator/>
      </w:r>
    </w:p>
  </w:footnote>
  <w:footnote w:type="continuationNotice" w:id="1">
    <w:p w14:paraId="6AB1C5A1" w14:textId="77777777" w:rsidR="003F3ABE" w:rsidRDefault="003F3A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C4F7B06"/>
    <w:multiLevelType w:val="hybridMultilevel"/>
    <w:tmpl w:val="A9D4C9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4E74A9"/>
    <w:multiLevelType w:val="hybridMultilevel"/>
    <w:tmpl w:val="8B5A88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EC27D0"/>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1"/>
  </w:num>
  <w:num w:numId="8">
    <w:abstractNumId w:val="4"/>
  </w:num>
  <w:num w:numId="9">
    <w:abstractNumId w:val="10"/>
  </w:num>
  <w:num w:numId="10">
    <w:abstractNumId w:val="5"/>
  </w:num>
  <w:num w:numId="11">
    <w:abstractNumId w:val="1"/>
  </w:num>
  <w:num w:numId="12">
    <w:abstractNumId w:val="2"/>
  </w:num>
  <w:num w:numId="1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2B5"/>
    <w:rsid w:val="000006E1"/>
    <w:rsid w:val="00001C5B"/>
    <w:rsid w:val="0000283C"/>
    <w:rsid w:val="00002A37"/>
    <w:rsid w:val="00004D61"/>
    <w:rsid w:val="000058F7"/>
    <w:rsid w:val="00006446"/>
    <w:rsid w:val="00006896"/>
    <w:rsid w:val="00006B52"/>
    <w:rsid w:val="00006B58"/>
    <w:rsid w:val="00006E96"/>
    <w:rsid w:val="00007A4E"/>
    <w:rsid w:val="00007B21"/>
    <w:rsid w:val="00007CDC"/>
    <w:rsid w:val="00010416"/>
    <w:rsid w:val="00010418"/>
    <w:rsid w:val="00010F6C"/>
    <w:rsid w:val="00011153"/>
    <w:rsid w:val="00011B28"/>
    <w:rsid w:val="0001207F"/>
    <w:rsid w:val="00012D65"/>
    <w:rsid w:val="0001302D"/>
    <w:rsid w:val="00013A86"/>
    <w:rsid w:val="000140FE"/>
    <w:rsid w:val="00014BD6"/>
    <w:rsid w:val="00014E6A"/>
    <w:rsid w:val="00015D15"/>
    <w:rsid w:val="00016E88"/>
    <w:rsid w:val="000176B2"/>
    <w:rsid w:val="00020538"/>
    <w:rsid w:val="0002092F"/>
    <w:rsid w:val="00024389"/>
    <w:rsid w:val="00025237"/>
    <w:rsid w:val="0002564D"/>
    <w:rsid w:val="00025CB6"/>
    <w:rsid w:val="00025ECA"/>
    <w:rsid w:val="0002609C"/>
    <w:rsid w:val="000269B9"/>
    <w:rsid w:val="00026AD3"/>
    <w:rsid w:val="00026BE4"/>
    <w:rsid w:val="00027332"/>
    <w:rsid w:val="000275A4"/>
    <w:rsid w:val="00027939"/>
    <w:rsid w:val="000302D0"/>
    <w:rsid w:val="000325B8"/>
    <w:rsid w:val="00033273"/>
    <w:rsid w:val="000337D8"/>
    <w:rsid w:val="000344F1"/>
    <w:rsid w:val="00034AE9"/>
    <w:rsid w:val="00034C15"/>
    <w:rsid w:val="00035E7C"/>
    <w:rsid w:val="000364F5"/>
    <w:rsid w:val="000369B3"/>
    <w:rsid w:val="00036BA1"/>
    <w:rsid w:val="00037419"/>
    <w:rsid w:val="00040DA0"/>
    <w:rsid w:val="00042049"/>
    <w:rsid w:val="000422E2"/>
    <w:rsid w:val="00042C73"/>
    <w:rsid w:val="00042E99"/>
    <w:rsid w:val="00042F22"/>
    <w:rsid w:val="00043022"/>
    <w:rsid w:val="0004348C"/>
    <w:rsid w:val="000439E0"/>
    <w:rsid w:val="00043BB4"/>
    <w:rsid w:val="000444EF"/>
    <w:rsid w:val="000455B9"/>
    <w:rsid w:val="00045A57"/>
    <w:rsid w:val="00045E51"/>
    <w:rsid w:val="000460CE"/>
    <w:rsid w:val="000503BF"/>
    <w:rsid w:val="00050B9F"/>
    <w:rsid w:val="00051A8F"/>
    <w:rsid w:val="00051FE1"/>
    <w:rsid w:val="00052A07"/>
    <w:rsid w:val="00052BC2"/>
    <w:rsid w:val="000534E3"/>
    <w:rsid w:val="00053756"/>
    <w:rsid w:val="000542D4"/>
    <w:rsid w:val="0005446F"/>
    <w:rsid w:val="0005606A"/>
    <w:rsid w:val="000566F6"/>
    <w:rsid w:val="00057117"/>
    <w:rsid w:val="00057E2C"/>
    <w:rsid w:val="00060C89"/>
    <w:rsid w:val="00060D1A"/>
    <w:rsid w:val="00060FD1"/>
    <w:rsid w:val="000616E7"/>
    <w:rsid w:val="00061B9F"/>
    <w:rsid w:val="00062447"/>
    <w:rsid w:val="00062C87"/>
    <w:rsid w:val="000630E9"/>
    <w:rsid w:val="00064037"/>
    <w:rsid w:val="0006487E"/>
    <w:rsid w:val="000658DF"/>
    <w:rsid w:val="00065C68"/>
    <w:rsid w:val="00065E1A"/>
    <w:rsid w:val="00066B4A"/>
    <w:rsid w:val="00067548"/>
    <w:rsid w:val="00070564"/>
    <w:rsid w:val="000710D2"/>
    <w:rsid w:val="000717E5"/>
    <w:rsid w:val="00071CB8"/>
    <w:rsid w:val="00071D61"/>
    <w:rsid w:val="00071D81"/>
    <w:rsid w:val="00071E0F"/>
    <w:rsid w:val="00072966"/>
    <w:rsid w:val="00072D36"/>
    <w:rsid w:val="00074165"/>
    <w:rsid w:val="00074914"/>
    <w:rsid w:val="00075168"/>
    <w:rsid w:val="00076DD9"/>
    <w:rsid w:val="00076EBC"/>
    <w:rsid w:val="0007722D"/>
    <w:rsid w:val="00077BC7"/>
    <w:rsid w:val="00077E5F"/>
    <w:rsid w:val="0008036A"/>
    <w:rsid w:val="00080DBB"/>
    <w:rsid w:val="00081051"/>
    <w:rsid w:val="00081AE6"/>
    <w:rsid w:val="000821B8"/>
    <w:rsid w:val="000841B9"/>
    <w:rsid w:val="000841EB"/>
    <w:rsid w:val="0008434E"/>
    <w:rsid w:val="00085060"/>
    <w:rsid w:val="000855EB"/>
    <w:rsid w:val="00085B52"/>
    <w:rsid w:val="00085DCE"/>
    <w:rsid w:val="000866F2"/>
    <w:rsid w:val="00087731"/>
    <w:rsid w:val="0009009F"/>
    <w:rsid w:val="00090100"/>
    <w:rsid w:val="0009070B"/>
    <w:rsid w:val="00090B21"/>
    <w:rsid w:val="00090C1D"/>
    <w:rsid w:val="00091557"/>
    <w:rsid w:val="000924C1"/>
    <w:rsid w:val="000924F0"/>
    <w:rsid w:val="0009258F"/>
    <w:rsid w:val="00092EB5"/>
    <w:rsid w:val="00093474"/>
    <w:rsid w:val="000937D0"/>
    <w:rsid w:val="00094589"/>
    <w:rsid w:val="0009510F"/>
    <w:rsid w:val="000968B0"/>
    <w:rsid w:val="00097E55"/>
    <w:rsid w:val="000A01BF"/>
    <w:rsid w:val="000A0685"/>
    <w:rsid w:val="000A0795"/>
    <w:rsid w:val="000A0A4B"/>
    <w:rsid w:val="000A1807"/>
    <w:rsid w:val="000A19D5"/>
    <w:rsid w:val="000A1B41"/>
    <w:rsid w:val="000A1B7B"/>
    <w:rsid w:val="000A56F2"/>
    <w:rsid w:val="000A5B49"/>
    <w:rsid w:val="000A7958"/>
    <w:rsid w:val="000A7F85"/>
    <w:rsid w:val="000B1847"/>
    <w:rsid w:val="000B2719"/>
    <w:rsid w:val="000B2793"/>
    <w:rsid w:val="000B32EB"/>
    <w:rsid w:val="000B383E"/>
    <w:rsid w:val="000B3A8F"/>
    <w:rsid w:val="000B4759"/>
    <w:rsid w:val="000B4AB9"/>
    <w:rsid w:val="000B4CF7"/>
    <w:rsid w:val="000B4F9C"/>
    <w:rsid w:val="000B58C3"/>
    <w:rsid w:val="000B5E96"/>
    <w:rsid w:val="000B6141"/>
    <w:rsid w:val="000B61E9"/>
    <w:rsid w:val="000B66D9"/>
    <w:rsid w:val="000B6C23"/>
    <w:rsid w:val="000B7CF7"/>
    <w:rsid w:val="000C0B03"/>
    <w:rsid w:val="000C165A"/>
    <w:rsid w:val="000C2CFA"/>
    <w:rsid w:val="000C2E19"/>
    <w:rsid w:val="000C302A"/>
    <w:rsid w:val="000C3084"/>
    <w:rsid w:val="000C503E"/>
    <w:rsid w:val="000C65B7"/>
    <w:rsid w:val="000C6CB7"/>
    <w:rsid w:val="000D0D07"/>
    <w:rsid w:val="000D1062"/>
    <w:rsid w:val="000D1C00"/>
    <w:rsid w:val="000D220F"/>
    <w:rsid w:val="000D2ACE"/>
    <w:rsid w:val="000D396C"/>
    <w:rsid w:val="000D3ADC"/>
    <w:rsid w:val="000D4797"/>
    <w:rsid w:val="000D4C5E"/>
    <w:rsid w:val="000D59C7"/>
    <w:rsid w:val="000E0527"/>
    <w:rsid w:val="000E08A9"/>
    <w:rsid w:val="000E1731"/>
    <w:rsid w:val="000E1E92"/>
    <w:rsid w:val="000E2EE5"/>
    <w:rsid w:val="000E48F2"/>
    <w:rsid w:val="000E4AB7"/>
    <w:rsid w:val="000E50E6"/>
    <w:rsid w:val="000E5682"/>
    <w:rsid w:val="000E58DF"/>
    <w:rsid w:val="000E5914"/>
    <w:rsid w:val="000E592A"/>
    <w:rsid w:val="000E7024"/>
    <w:rsid w:val="000E7C6F"/>
    <w:rsid w:val="000F06D6"/>
    <w:rsid w:val="000F0EB1"/>
    <w:rsid w:val="000F1106"/>
    <w:rsid w:val="000F1F12"/>
    <w:rsid w:val="000F3AF3"/>
    <w:rsid w:val="000F3BE9"/>
    <w:rsid w:val="000F3DFC"/>
    <w:rsid w:val="000F3F6C"/>
    <w:rsid w:val="000F41EC"/>
    <w:rsid w:val="000F5904"/>
    <w:rsid w:val="000F6DF3"/>
    <w:rsid w:val="000F754A"/>
    <w:rsid w:val="001005FF"/>
    <w:rsid w:val="00102A86"/>
    <w:rsid w:val="00104618"/>
    <w:rsid w:val="0010530C"/>
    <w:rsid w:val="00105E78"/>
    <w:rsid w:val="00106043"/>
    <w:rsid w:val="001062FB"/>
    <w:rsid w:val="001063E6"/>
    <w:rsid w:val="001101DC"/>
    <w:rsid w:val="001116DD"/>
    <w:rsid w:val="001121EE"/>
    <w:rsid w:val="0011286B"/>
    <w:rsid w:val="00112BC6"/>
    <w:rsid w:val="00112E00"/>
    <w:rsid w:val="00113726"/>
    <w:rsid w:val="00113CF4"/>
    <w:rsid w:val="001141F6"/>
    <w:rsid w:val="00114C8D"/>
    <w:rsid w:val="0011508C"/>
    <w:rsid w:val="001153EA"/>
    <w:rsid w:val="00115643"/>
    <w:rsid w:val="00115DC5"/>
    <w:rsid w:val="00116765"/>
    <w:rsid w:val="00116BBD"/>
    <w:rsid w:val="00116EE3"/>
    <w:rsid w:val="00117B7E"/>
    <w:rsid w:val="0012078D"/>
    <w:rsid w:val="0012080F"/>
    <w:rsid w:val="001219F5"/>
    <w:rsid w:val="00121A20"/>
    <w:rsid w:val="00122CF1"/>
    <w:rsid w:val="00122F2E"/>
    <w:rsid w:val="00123026"/>
    <w:rsid w:val="00123610"/>
    <w:rsid w:val="0012377F"/>
    <w:rsid w:val="00124314"/>
    <w:rsid w:val="001254E8"/>
    <w:rsid w:val="00126902"/>
    <w:rsid w:val="00126B4A"/>
    <w:rsid w:val="001272AC"/>
    <w:rsid w:val="00127B88"/>
    <w:rsid w:val="00127E49"/>
    <w:rsid w:val="00130E77"/>
    <w:rsid w:val="00131EC3"/>
    <w:rsid w:val="00132FAC"/>
    <w:rsid w:val="00132FD0"/>
    <w:rsid w:val="00133130"/>
    <w:rsid w:val="00133CEB"/>
    <w:rsid w:val="001344C0"/>
    <w:rsid w:val="001346FA"/>
    <w:rsid w:val="00135252"/>
    <w:rsid w:val="00135588"/>
    <w:rsid w:val="001357CE"/>
    <w:rsid w:val="0013667F"/>
    <w:rsid w:val="00137A29"/>
    <w:rsid w:val="00137AB5"/>
    <w:rsid w:val="00137F0B"/>
    <w:rsid w:val="00140924"/>
    <w:rsid w:val="00140A5D"/>
    <w:rsid w:val="001415BC"/>
    <w:rsid w:val="001416F8"/>
    <w:rsid w:val="00141A7D"/>
    <w:rsid w:val="001431E6"/>
    <w:rsid w:val="0014493B"/>
    <w:rsid w:val="00144D45"/>
    <w:rsid w:val="00145D40"/>
    <w:rsid w:val="00146AD8"/>
    <w:rsid w:val="0015059F"/>
    <w:rsid w:val="00151723"/>
    <w:rsid w:val="00151AF3"/>
    <w:rsid w:val="00151E23"/>
    <w:rsid w:val="001526E0"/>
    <w:rsid w:val="001550E1"/>
    <w:rsid w:val="001551B5"/>
    <w:rsid w:val="0015525E"/>
    <w:rsid w:val="0015531C"/>
    <w:rsid w:val="00155652"/>
    <w:rsid w:val="00155888"/>
    <w:rsid w:val="00156F8F"/>
    <w:rsid w:val="001608F0"/>
    <w:rsid w:val="00160DD8"/>
    <w:rsid w:val="00160ECA"/>
    <w:rsid w:val="001632FD"/>
    <w:rsid w:val="00163F63"/>
    <w:rsid w:val="001643A8"/>
    <w:rsid w:val="0016465B"/>
    <w:rsid w:val="0016571A"/>
    <w:rsid w:val="001659C1"/>
    <w:rsid w:val="00165A59"/>
    <w:rsid w:val="0016607D"/>
    <w:rsid w:val="00166311"/>
    <w:rsid w:val="001664A1"/>
    <w:rsid w:val="001715F1"/>
    <w:rsid w:val="00171A1F"/>
    <w:rsid w:val="00171D4D"/>
    <w:rsid w:val="00171D60"/>
    <w:rsid w:val="00172AD1"/>
    <w:rsid w:val="00173A8E"/>
    <w:rsid w:val="00174844"/>
    <w:rsid w:val="0017489D"/>
    <w:rsid w:val="00174958"/>
    <w:rsid w:val="00176599"/>
    <w:rsid w:val="0017674E"/>
    <w:rsid w:val="001772F9"/>
    <w:rsid w:val="00177316"/>
    <w:rsid w:val="00177795"/>
    <w:rsid w:val="00177B4D"/>
    <w:rsid w:val="00180BD2"/>
    <w:rsid w:val="00180D4C"/>
    <w:rsid w:val="00180D51"/>
    <w:rsid w:val="0018143F"/>
    <w:rsid w:val="00181887"/>
    <w:rsid w:val="00181E4A"/>
    <w:rsid w:val="00183019"/>
    <w:rsid w:val="00183AB3"/>
    <w:rsid w:val="00183BC4"/>
    <w:rsid w:val="00186C87"/>
    <w:rsid w:val="00190AC1"/>
    <w:rsid w:val="00191E9E"/>
    <w:rsid w:val="00192173"/>
    <w:rsid w:val="001928DE"/>
    <w:rsid w:val="00192C10"/>
    <w:rsid w:val="0019341A"/>
    <w:rsid w:val="00194BBD"/>
    <w:rsid w:val="001952E7"/>
    <w:rsid w:val="00195520"/>
    <w:rsid w:val="001958B6"/>
    <w:rsid w:val="001963B6"/>
    <w:rsid w:val="00197653"/>
    <w:rsid w:val="00197DF9"/>
    <w:rsid w:val="001A1502"/>
    <w:rsid w:val="001A1987"/>
    <w:rsid w:val="001A2564"/>
    <w:rsid w:val="001A2C49"/>
    <w:rsid w:val="001A374B"/>
    <w:rsid w:val="001A3CD1"/>
    <w:rsid w:val="001A4408"/>
    <w:rsid w:val="001A45EE"/>
    <w:rsid w:val="001A5CFF"/>
    <w:rsid w:val="001A5E6F"/>
    <w:rsid w:val="001A6173"/>
    <w:rsid w:val="001A6CBA"/>
    <w:rsid w:val="001A7A50"/>
    <w:rsid w:val="001B0B91"/>
    <w:rsid w:val="001B0D97"/>
    <w:rsid w:val="001B171F"/>
    <w:rsid w:val="001B2E53"/>
    <w:rsid w:val="001B3012"/>
    <w:rsid w:val="001B459B"/>
    <w:rsid w:val="001B46E7"/>
    <w:rsid w:val="001B5A5D"/>
    <w:rsid w:val="001B5CE8"/>
    <w:rsid w:val="001B63C6"/>
    <w:rsid w:val="001B6CE0"/>
    <w:rsid w:val="001B7DF3"/>
    <w:rsid w:val="001B7DFD"/>
    <w:rsid w:val="001C1CE5"/>
    <w:rsid w:val="001C1D83"/>
    <w:rsid w:val="001C367D"/>
    <w:rsid w:val="001C3AAF"/>
    <w:rsid w:val="001C3D2A"/>
    <w:rsid w:val="001C401F"/>
    <w:rsid w:val="001C53FA"/>
    <w:rsid w:val="001C5950"/>
    <w:rsid w:val="001C5DD8"/>
    <w:rsid w:val="001C6495"/>
    <w:rsid w:val="001C67E3"/>
    <w:rsid w:val="001C7030"/>
    <w:rsid w:val="001D02D8"/>
    <w:rsid w:val="001D0E59"/>
    <w:rsid w:val="001D280D"/>
    <w:rsid w:val="001D3AD3"/>
    <w:rsid w:val="001D4132"/>
    <w:rsid w:val="001D4AB7"/>
    <w:rsid w:val="001D4ABC"/>
    <w:rsid w:val="001D51BA"/>
    <w:rsid w:val="001D6342"/>
    <w:rsid w:val="001D6461"/>
    <w:rsid w:val="001D6AB5"/>
    <w:rsid w:val="001D6D53"/>
    <w:rsid w:val="001E50EC"/>
    <w:rsid w:val="001E58E2"/>
    <w:rsid w:val="001E6502"/>
    <w:rsid w:val="001E663A"/>
    <w:rsid w:val="001E7AED"/>
    <w:rsid w:val="001F15FB"/>
    <w:rsid w:val="001F1BD0"/>
    <w:rsid w:val="001F2307"/>
    <w:rsid w:val="001F3669"/>
    <w:rsid w:val="001F3916"/>
    <w:rsid w:val="001F4AB0"/>
    <w:rsid w:val="001F4B85"/>
    <w:rsid w:val="001F4C0D"/>
    <w:rsid w:val="001F54C5"/>
    <w:rsid w:val="001F662C"/>
    <w:rsid w:val="001F7074"/>
    <w:rsid w:val="00200490"/>
    <w:rsid w:val="00201CC9"/>
    <w:rsid w:val="00201DF2"/>
    <w:rsid w:val="00201F3A"/>
    <w:rsid w:val="00202AE9"/>
    <w:rsid w:val="00203F96"/>
    <w:rsid w:val="0020419A"/>
    <w:rsid w:val="002043A4"/>
    <w:rsid w:val="002069B2"/>
    <w:rsid w:val="00206C08"/>
    <w:rsid w:val="002074C2"/>
    <w:rsid w:val="00207F96"/>
    <w:rsid w:val="00207FA3"/>
    <w:rsid w:val="00210D5C"/>
    <w:rsid w:val="00210F1A"/>
    <w:rsid w:val="0021147B"/>
    <w:rsid w:val="00213346"/>
    <w:rsid w:val="00213D51"/>
    <w:rsid w:val="002141B1"/>
    <w:rsid w:val="00214DA8"/>
    <w:rsid w:val="00215423"/>
    <w:rsid w:val="002158FA"/>
    <w:rsid w:val="00216564"/>
    <w:rsid w:val="00217C9D"/>
    <w:rsid w:val="002202E1"/>
    <w:rsid w:val="00220600"/>
    <w:rsid w:val="002224DB"/>
    <w:rsid w:val="00222DEF"/>
    <w:rsid w:val="00222FEF"/>
    <w:rsid w:val="00223FCB"/>
    <w:rsid w:val="00224203"/>
    <w:rsid w:val="00224BB3"/>
    <w:rsid w:val="00224EEF"/>
    <w:rsid w:val="002252C3"/>
    <w:rsid w:val="00225C54"/>
    <w:rsid w:val="00226084"/>
    <w:rsid w:val="00226B36"/>
    <w:rsid w:val="00226F3B"/>
    <w:rsid w:val="00227AE2"/>
    <w:rsid w:val="00227EB4"/>
    <w:rsid w:val="0023019F"/>
    <w:rsid w:val="00230568"/>
    <w:rsid w:val="00230765"/>
    <w:rsid w:val="00230F6F"/>
    <w:rsid w:val="00231111"/>
    <w:rsid w:val="002319E4"/>
    <w:rsid w:val="00233122"/>
    <w:rsid w:val="00233AFC"/>
    <w:rsid w:val="00235562"/>
    <w:rsid w:val="00235632"/>
    <w:rsid w:val="00235872"/>
    <w:rsid w:val="0023659F"/>
    <w:rsid w:val="0023737F"/>
    <w:rsid w:val="00240A1F"/>
    <w:rsid w:val="00241559"/>
    <w:rsid w:val="00241B98"/>
    <w:rsid w:val="00242973"/>
    <w:rsid w:val="00242A0A"/>
    <w:rsid w:val="00242F47"/>
    <w:rsid w:val="002435B3"/>
    <w:rsid w:val="00243CDE"/>
    <w:rsid w:val="00244DBD"/>
    <w:rsid w:val="0024547B"/>
    <w:rsid w:val="002454D4"/>
    <w:rsid w:val="002458EB"/>
    <w:rsid w:val="0024671B"/>
    <w:rsid w:val="002472AB"/>
    <w:rsid w:val="002472C7"/>
    <w:rsid w:val="002500C8"/>
    <w:rsid w:val="00250F16"/>
    <w:rsid w:val="0025167F"/>
    <w:rsid w:val="00252316"/>
    <w:rsid w:val="00253243"/>
    <w:rsid w:val="002543D7"/>
    <w:rsid w:val="00254A78"/>
    <w:rsid w:val="0025513F"/>
    <w:rsid w:val="00255562"/>
    <w:rsid w:val="002566DD"/>
    <w:rsid w:val="00257543"/>
    <w:rsid w:val="00257F88"/>
    <w:rsid w:val="00261285"/>
    <w:rsid w:val="002617E7"/>
    <w:rsid w:val="00261FC8"/>
    <w:rsid w:val="002638F9"/>
    <w:rsid w:val="00264109"/>
    <w:rsid w:val="00264228"/>
    <w:rsid w:val="00264334"/>
    <w:rsid w:val="0026473E"/>
    <w:rsid w:val="00265260"/>
    <w:rsid w:val="00265475"/>
    <w:rsid w:val="00266214"/>
    <w:rsid w:val="00266382"/>
    <w:rsid w:val="00266714"/>
    <w:rsid w:val="00266BFC"/>
    <w:rsid w:val="0026738B"/>
    <w:rsid w:val="00267C58"/>
    <w:rsid w:val="00267C83"/>
    <w:rsid w:val="00270BCB"/>
    <w:rsid w:val="00270CAD"/>
    <w:rsid w:val="0027144F"/>
    <w:rsid w:val="00271F3A"/>
    <w:rsid w:val="00272BC4"/>
    <w:rsid w:val="00273278"/>
    <w:rsid w:val="002737F4"/>
    <w:rsid w:val="002739DB"/>
    <w:rsid w:val="002748BF"/>
    <w:rsid w:val="00274DDA"/>
    <w:rsid w:val="0027649E"/>
    <w:rsid w:val="002766B8"/>
    <w:rsid w:val="002767AE"/>
    <w:rsid w:val="00276F2F"/>
    <w:rsid w:val="00276F33"/>
    <w:rsid w:val="00277CAE"/>
    <w:rsid w:val="002803F3"/>
    <w:rsid w:val="002805F5"/>
    <w:rsid w:val="00280751"/>
    <w:rsid w:val="00281850"/>
    <w:rsid w:val="00281B0D"/>
    <w:rsid w:val="00281F11"/>
    <w:rsid w:val="002824CE"/>
    <w:rsid w:val="0028280A"/>
    <w:rsid w:val="002858EB"/>
    <w:rsid w:val="002867DE"/>
    <w:rsid w:val="00286ACD"/>
    <w:rsid w:val="00287838"/>
    <w:rsid w:val="00287895"/>
    <w:rsid w:val="002907B5"/>
    <w:rsid w:val="002921B1"/>
    <w:rsid w:val="00292A32"/>
    <w:rsid w:val="00292E71"/>
    <w:rsid w:val="00292EB7"/>
    <w:rsid w:val="0029332C"/>
    <w:rsid w:val="00293B29"/>
    <w:rsid w:val="00293F02"/>
    <w:rsid w:val="0029475C"/>
    <w:rsid w:val="00296227"/>
    <w:rsid w:val="00296F44"/>
    <w:rsid w:val="0029774E"/>
    <w:rsid w:val="0029777D"/>
    <w:rsid w:val="002978DE"/>
    <w:rsid w:val="002A036D"/>
    <w:rsid w:val="002A055E"/>
    <w:rsid w:val="002A0FA2"/>
    <w:rsid w:val="002A164A"/>
    <w:rsid w:val="002A1D4E"/>
    <w:rsid w:val="002A2034"/>
    <w:rsid w:val="002A2117"/>
    <w:rsid w:val="002A2869"/>
    <w:rsid w:val="002A50D7"/>
    <w:rsid w:val="002A6E28"/>
    <w:rsid w:val="002A75FE"/>
    <w:rsid w:val="002B0595"/>
    <w:rsid w:val="002B06F0"/>
    <w:rsid w:val="002B0AEA"/>
    <w:rsid w:val="002B0B1F"/>
    <w:rsid w:val="002B0F5D"/>
    <w:rsid w:val="002B2214"/>
    <w:rsid w:val="002B22DB"/>
    <w:rsid w:val="002B2378"/>
    <w:rsid w:val="002B24D6"/>
    <w:rsid w:val="002B2A1A"/>
    <w:rsid w:val="002B2CC5"/>
    <w:rsid w:val="002B467E"/>
    <w:rsid w:val="002B47B7"/>
    <w:rsid w:val="002B7F74"/>
    <w:rsid w:val="002C0708"/>
    <w:rsid w:val="002C244C"/>
    <w:rsid w:val="002C2E86"/>
    <w:rsid w:val="002C31CA"/>
    <w:rsid w:val="002C32A1"/>
    <w:rsid w:val="002C39FD"/>
    <w:rsid w:val="002C3EB4"/>
    <w:rsid w:val="002C40EF"/>
    <w:rsid w:val="002C41E6"/>
    <w:rsid w:val="002C5321"/>
    <w:rsid w:val="002C6B35"/>
    <w:rsid w:val="002D00AE"/>
    <w:rsid w:val="002D022A"/>
    <w:rsid w:val="002D071A"/>
    <w:rsid w:val="002D1555"/>
    <w:rsid w:val="002D176D"/>
    <w:rsid w:val="002D1A92"/>
    <w:rsid w:val="002D2B9C"/>
    <w:rsid w:val="002D34B2"/>
    <w:rsid w:val="002D362A"/>
    <w:rsid w:val="002D4870"/>
    <w:rsid w:val="002D48D3"/>
    <w:rsid w:val="002D49B9"/>
    <w:rsid w:val="002D4ADC"/>
    <w:rsid w:val="002D4C97"/>
    <w:rsid w:val="002D5003"/>
    <w:rsid w:val="002D51CB"/>
    <w:rsid w:val="002D55AD"/>
    <w:rsid w:val="002D5976"/>
    <w:rsid w:val="002D62B1"/>
    <w:rsid w:val="002D6CE5"/>
    <w:rsid w:val="002D7637"/>
    <w:rsid w:val="002D7FC2"/>
    <w:rsid w:val="002E073A"/>
    <w:rsid w:val="002E17F2"/>
    <w:rsid w:val="002E3CAE"/>
    <w:rsid w:val="002E3DED"/>
    <w:rsid w:val="002E4E1F"/>
    <w:rsid w:val="002E5693"/>
    <w:rsid w:val="002E5C26"/>
    <w:rsid w:val="002E6461"/>
    <w:rsid w:val="002E64DB"/>
    <w:rsid w:val="002E7CAE"/>
    <w:rsid w:val="002F0643"/>
    <w:rsid w:val="002F1CFC"/>
    <w:rsid w:val="002F246A"/>
    <w:rsid w:val="002F2771"/>
    <w:rsid w:val="002F27FA"/>
    <w:rsid w:val="002F37A9"/>
    <w:rsid w:val="002F421A"/>
    <w:rsid w:val="002F4B18"/>
    <w:rsid w:val="002F5E8B"/>
    <w:rsid w:val="002F607F"/>
    <w:rsid w:val="002F62FB"/>
    <w:rsid w:val="002F7669"/>
    <w:rsid w:val="00300010"/>
    <w:rsid w:val="0030161E"/>
    <w:rsid w:val="00301CE6"/>
    <w:rsid w:val="00302167"/>
    <w:rsid w:val="0030256B"/>
    <w:rsid w:val="00303DAA"/>
    <w:rsid w:val="0030501F"/>
    <w:rsid w:val="0030502F"/>
    <w:rsid w:val="00305A9E"/>
    <w:rsid w:val="00307047"/>
    <w:rsid w:val="003075FF"/>
    <w:rsid w:val="00307BA1"/>
    <w:rsid w:val="00311568"/>
    <w:rsid w:val="00311702"/>
    <w:rsid w:val="00311E82"/>
    <w:rsid w:val="00313FD6"/>
    <w:rsid w:val="00314197"/>
    <w:rsid w:val="003143BD"/>
    <w:rsid w:val="00314550"/>
    <w:rsid w:val="00314F3C"/>
    <w:rsid w:val="0031521B"/>
    <w:rsid w:val="003177E4"/>
    <w:rsid w:val="00317B01"/>
    <w:rsid w:val="003203ED"/>
    <w:rsid w:val="003207D7"/>
    <w:rsid w:val="003208C9"/>
    <w:rsid w:val="00321158"/>
    <w:rsid w:val="00322281"/>
    <w:rsid w:val="00322C9F"/>
    <w:rsid w:val="00322CD7"/>
    <w:rsid w:val="003236B0"/>
    <w:rsid w:val="0032398B"/>
    <w:rsid w:val="00323B31"/>
    <w:rsid w:val="00323E1C"/>
    <w:rsid w:val="003248B5"/>
    <w:rsid w:val="003249A5"/>
    <w:rsid w:val="00324D23"/>
    <w:rsid w:val="003261A9"/>
    <w:rsid w:val="00326BE1"/>
    <w:rsid w:val="00330738"/>
    <w:rsid w:val="00331751"/>
    <w:rsid w:val="00331EEA"/>
    <w:rsid w:val="00332B5B"/>
    <w:rsid w:val="00334579"/>
    <w:rsid w:val="00335858"/>
    <w:rsid w:val="00335A88"/>
    <w:rsid w:val="00336BDA"/>
    <w:rsid w:val="00337907"/>
    <w:rsid w:val="0034033C"/>
    <w:rsid w:val="0034120F"/>
    <w:rsid w:val="00342BD7"/>
    <w:rsid w:val="00342D3F"/>
    <w:rsid w:val="003438A4"/>
    <w:rsid w:val="00343A07"/>
    <w:rsid w:val="0034436D"/>
    <w:rsid w:val="003443F6"/>
    <w:rsid w:val="00344407"/>
    <w:rsid w:val="003445B6"/>
    <w:rsid w:val="00344919"/>
    <w:rsid w:val="00344941"/>
    <w:rsid w:val="003453C2"/>
    <w:rsid w:val="00345434"/>
    <w:rsid w:val="003455D2"/>
    <w:rsid w:val="003460EA"/>
    <w:rsid w:val="00346DB5"/>
    <w:rsid w:val="003477B1"/>
    <w:rsid w:val="00350067"/>
    <w:rsid w:val="00350342"/>
    <w:rsid w:val="00350AC7"/>
    <w:rsid w:val="00350AD1"/>
    <w:rsid w:val="00350AE0"/>
    <w:rsid w:val="00351A57"/>
    <w:rsid w:val="00351EEE"/>
    <w:rsid w:val="00351FEF"/>
    <w:rsid w:val="003526DA"/>
    <w:rsid w:val="00352F5F"/>
    <w:rsid w:val="00353EA7"/>
    <w:rsid w:val="0035482C"/>
    <w:rsid w:val="00355116"/>
    <w:rsid w:val="00355135"/>
    <w:rsid w:val="0035709A"/>
    <w:rsid w:val="00357380"/>
    <w:rsid w:val="003602D9"/>
    <w:rsid w:val="003604CE"/>
    <w:rsid w:val="003604FF"/>
    <w:rsid w:val="00361478"/>
    <w:rsid w:val="0036161E"/>
    <w:rsid w:val="0036211D"/>
    <w:rsid w:val="00363276"/>
    <w:rsid w:val="00364A5B"/>
    <w:rsid w:val="0036559A"/>
    <w:rsid w:val="00365A6D"/>
    <w:rsid w:val="003665AC"/>
    <w:rsid w:val="00366717"/>
    <w:rsid w:val="00366D3B"/>
    <w:rsid w:val="003670B6"/>
    <w:rsid w:val="0036731F"/>
    <w:rsid w:val="00367551"/>
    <w:rsid w:val="00370CF1"/>
    <w:rsid w:val="00370E47"/>
    <w:rsid w:val="003714E8"/>
    <w:rsid w:val="0037177D"/>
    <w:rsid w:val="00371CBD"/>
    <w:rsid w:val="003735E5"/>
    <w:rsid w:val="00374056"/>
    <w:rsid w:val="003742AC"/>
    <w:rsid w:val="00374C70"/>
    <w:rsid w:val="00375204"/>
    <w:rsid w:val="00375EC2"/>
    <w:rsid w:val="00375FE0"/>
    <w:rsid w:val="003768C5"/>
    <w:rsid w:val="003769BC"/>
    <w:rsid w:val="00376EA4"/>
    <w:rsid w:val="00377CE1"/>
    <w:rsid w:val="00377DAF"/>
    <w:rsid w:val="003818C8"/>
    <w:rsid w:val="00381E22"/>
    <w:rsid w:val="00385B51"/>
    <w:rsid w:val="00385BF0"/>
    <w:rsid w:val="00386AA5"/>
    <w:rsid w:val="00386B57"/>
    <w:rsid w:val="00387618"/>
    <w:rsid w:val="00387BA7"/>
    <w:rsid w:val="003939FF"/>
    <w:rsid w:val="00395A21"/>
    <w:rsid w:val="00396CAD"/>
    <w:rsid w:val="003A127C"/>
    <w:rsid w:val="003A1EE5"/>
    <w:rsid w:val="003A2223"/>
    <w:rsid w:val="003A2272"/>
    <w:rsid w:val="003A23C7"/>
    <w:rsid w:val="003A2A0F"/>
    <w:rsid w:val="003A45A1"/>
    <w:rsid w:val="003A5B0A"/>
    <w:rsid w:val="003A6BAC"/>
    <w:rsid w:val="003A79AD"/>
    <w:rsid w:val="003A7CD4"/>
    <w:rsid w:val="003A7EF3"/>
    <w:rsid w:val="003B159C"/>
    <w:rsid w:val="003B1DBD"/>
    <w:rsid w:val="003B267B"/>
    <w:rsid w:val="003B2D90"/>
    <w:rsid w:val="003B369F"/>
    <w:rsid w:val="003B36A3"/>
    <w:rsid w:val="003B4D22"/>
    <w:rsid w:val="003B4F17"/>
    <w:rsid w:val="003B5210"/>
    <w:rsid w:val="003B5DF9"/>
    <w:rsid w:val="003B608D"/>
    <w:rsid w:val="003B6D98"/>
    <w:rsid w:val="003B72A4"/>
    <w:rsid w:val="003B7FE5"/>
    <w:rsid w:val="003C10D1"/>
    <w:rsid w:val="003C11C8"/>
    <w:rsid w:val="003C15B6"/>
    <w:rsid w:val="003C1869"/>
    <w:rsid w:val="003C2702"/>
    <w:rsid w:val="003C383A"/>
    <w:rsid w:val="003C4788"/>
    <w:rsid w:val="003C580F"/>
    <w:rsid w:val="003C7806"/>
    <w:rsid w:val="003C7FE9"/>
    <w:rsid w:val="003D03A4"/>
    <w:rsid w:val="003D0CC6"/>
    <w:rsid w:val="003D109F"/>
    <w:rsid w:val="003D1E65"/>
    <w:rsid w:val="003D23C1"/>
    <w:rsid w:val="003D2478"/>
    <w:rsid w:val="003D2FC4"/>
    <w:rsid w:val="003D387A"/>
    <w:rsid w:val="003D3C45"/>
    <w:rsid w:val="003D43DD"/>
    <w:rsid w:val="003D4532"/>
    <w:rsid w:val="003D5B1F"/>
    <w:rsid w:val="003D673A"/>
    <w:rsid w:val="003E15FA"/>
    <w:rsid w:val="003E45F5"/>
    <w:rsid w:val="003E4EAD"/>
    <w:rsid w:val="003E4ED2"/>
    <w:rsid w:val="003E52FF"/>
    <w:rsid w:val="003E55E4"/>
    <w:rsid w:val="003E5613"/>
    <w:rsid w:val="003E5FCB"/>
    <w:rsid w:val="003E6220"/>
    <w:rsid w:val="003E628C"/>
    <w:rsid w:val="003E6588"/>
    <w:rsid w:val="003E6BEE"/>
    <w:rsid w:val="003E6FB9"/>
    <w:rsid w:val="003E74E3"/>
    <w:rsid w:val="003E75BA"/>
    <w:rsid w:val="003F05C7"/>
    <w:rsid w:val="003F148A"/>
    <w:rsid w:val="003F1D11"/>
    <w:rsid w:val="003F1D35"/>
    <w:rsid w:val="003F22EA"/>
    <w:rsid w:val="003F2432"/>
    <w:rsid w:val="003F282A"/>
    <w:rsid w:val="003F2CD4"/>
    <w:rsid w:val="003F3712"/>
    <w:rsid w:val="003F3ABE"/>
    <w:rsid w:val="003F4C50"/>
    <w:rsid w:val="003F566F"/>
    <w:rsid w:val="003F5CB7"/>
    <w:rsid w:val="003F6A7D"/>
    <w:rsid w:val="003F6BBE"/>
    <w:rsid w:val="004000E8"/>
    <w:rsid w:val="004014F3"/>
    <w:rsid w:val="00402DD0"/>
    <w:rsid w:val="00402E2B"/>
    <w:rsid w:val="004036D7"/>
    <w:rsid w:val="00403E95"/>
    <w:rsid w:val="004043D0"/>
    <w:rsid w:val="00404CE2"/>
    <w:rsid w:val="0040512B"/>
    <w:rsid w:val="00405CA5"/>
    <w:rsid w:val="0040715C"/>
    <w:rsid w:val="00407CD3"/>
    <w:rsid w:val="00410134"/>
    <w:rsid w:val="004101D3"/>
    <w:rsid w:val="00410B72"/>
    <w:rsid w:val="00410F18"/>
    <w:rsid w:val="00411E24"/>
    <w:rsid w:val="0041263E"/>
    <w:rsid w:val="00412AF8"/>
    <w:rsid w:val="00413AAC"/>
    <w:rsid w:val="00413C27"/>
    <w:rsid w:val="00414216"/>
    <w:rsid w:val="004153BF"/>
    <w:rsid w:val="00416B1B"/>
    <w:rsid w:val="00420DC3"/>
    <w:rsid w:val="00421105"/>
    <w:rsid w:val="00421755"/>
    <w:rsid w:val="00422AE7"/>
    <w:rsid w:val="004234D8"/>
    <w:rsid w:val="0042420D"/>
    <w:rsid w:val="004242F4"/>
    <w:rsid w:val="004251F4"/>
    <w:rsid w:val="00425AB2"/>
    <w:rsid w:val="00426E95"/>
    <w:rsid w:val="00427248"/>
    <w:rsid w:val="00427C68"/>
    <w:rsid w:val="0043123D"/>
    <w:rsid w:val="004332BB"/>
    <w:rsid w:val="00434187"/>
    <w:rsid w:val="00434A7A"/>
    <w:rsid w:val="004351A3"/>
    <w:rsid w:val="00435941"/>
    <w:rsid w:val="00435CD3"/>
    <w:rsid w:val="00435ECC"/>
    <w:rsid w:val="00436698"/>
    <w:rsid w:val="00436B6E"/>
    <w:rsid w:val="00436FC1"/>
    <w:rsid w:val="00437447"/>
    <w:rsid w:val="004374BA"/>
    <w:rsid w:val="00437C39"/>
    <w:rsid w:val="00437D4C"/>
    <w:rsid w:val="00437E0E"/>
    <w:rsid w:val="00440548"/>
    <w:rsid w:val="00440B16"/>
    <w:rsid w:val="00441A92"/>
    <w:rsid w:val="00441DE1"/>
    <w:rsid w:val="00442AD8"/>
    <w:rsid w:val="00444334"/>
    <w:rsid w:val="00444AAD"/>
    <w:rsid w:val="00444F56"/>
    <w:rsid w:val="00445509"/>
    <w:rsid w:val="00445754"/>
    <w:rsid w:val="00445BA0"/>
    <w:rsid w:val="00446488"/>
    <w:rsid w:val="004517AA"/>
    <w:rsid w:val="00451811"/>
    <w:rsid w:val="00451822"/>
    <w:rsid w:val="004518C9"/>
    <w:rsid w:val="00451E46"/>
    <w:rsid w:val="004521EC"/>
    <w:rsid w:val="00452462"/>
    <w:rsid w:val="00452CAC"/>
    <w:rsid w:val="00452F5B"/>
    <w:rsid w:val="00453200"/>
    <w:rsid w:val="00453851"/>
    <w:rsid w:val="00453875"/>
    <w:rsid w:val="00454E26"/>
    <w:rsid w:val="00454E46"/>
    <w:rsid w:val="00455084"/>
    <w:rsid w:val="0045593F"/>
    <w:rsid w:val="00456CEF"/>
    <w:rsid w:val="004572B0"/>
    <w:rsid w:val="00457565"/>
    <w:rsid w:val="00457B71"/>
    <w:rsid w:val="00460A8E"/>
    <w:rsid w:val="00461FDF"/>
    <w:rsid w:val="004624BD"/>
    <w:rsid w:val="004625D4"/>
    <w:rsid w:val="00462F46"/>
    <w:rsid w:val="0046300D"/>
    <w:rsid w:val="004632DD"/>
    <w:rsid w:val="00463CD8"/>
    <w:rsid w:val="00464200"/>
    <w:rsid w:val="00465F3A"/>
    <w:rsid w:val="004660E7"/>
    <w:rsid w:val="004669E2"/>
    <w:rsid w:val="004671E7"/>
    <w:rsid w:val="004708B4"/>
    <w:rsid w:val="00470C31"/>
    <w:rsid w:val="004718B6"/>
    <w:rsid w:val="00471AC0"/>
    <w:rsid w:val="00472BF3"/>
    <w:rsid w:val="004734D0"/>
    <w:rsid w:val="00474804"/>
    <w:rsid w:val="004750E0"/>
    <w:rsid w:val="0047556B"/>
    <w:rsid w:val="004759D0"/>
    <w:rsid w:val="00475E23"/>
    <w:rsid w:val="00475EC7"/>
    <w:rsid w:val="0047614A"/>
    <w:rsid w:val="004769FA"/>
    <w:rsid w:val="00476B21"/>
    <w:rsid w:val="00477768"/>
    <w:rsid w:val="00477780"/>
    <w:rsid w:val="004779E6"/>
    <w:rsid w:val="004809CD"/>
    <w:rsid w:val="004816D7"/>
    <w:rsid w:val="00484069"/>
    <w:rsid w:val="004846D1"/>
    <w:rsid w:val="00484811"/>
    <w:rsid w:val="0048765C"/>
    <w:rsid w:val="00487899"/>
    <w:rsid w:val="00492BC5"/>
    <w:rsid w:val="00492CC8"/>
    <w:rsid w:val="00492E19"/>
    <w:rsid w:val="00493F23"/>
    <w:rsid w:val="00494341"/>
    <w:rsid w:val="00494430"/>
    <w:rsid w:val="00495A2B"/>
    <w:rsid w:val="00495F6C"/>
    <w:rsid w:val="004961CE"/>
    <w:rsid w:val="004964F1"/>
    <w:rsid w:val="00496CFB"/>
    <w:rsid w:val="004970B3"/>
    <w:rsid w:val="004974A5"/>
    <w:rsid w:val="004A0832"/>
    <w:rsid w:val="004A16BC"/>
    <w:rsid w:val="004A2B94"/>
    <w:rsid w:val="004A38AB"/>
    <w:rsid w:val="004A3B58"/>
    <w:rsid w:val="004A40BE"/>
    <w:rsid w:val="004A4223"/>
    <w:rsid w:val="004A7E7F"/>
    <w:rsid w:val="004B08FC"/>
    <w:rsid w:val="004B0AA3"/>
    <w:rsid w:val="004B1265"/>
    <w:rsid w:val="004B209E"/>
    <w:rsid w:val="004B2FD1"/>
    <w:rsid w:val="004B3947"/>
    <w:rsid w:val="004B3ACB"/>
    <w:rsid w:val="004B5344"/>
    <w:rsid w:val="004B569F"/>
    <w:rsid w:val="004B7C0C"/>
    <w:rsid w:val="004C01C8"/>
    <w:rsid w:val="004C11D8"/>
    <w:rsid w:val="004C2328"/>
    <w:rsid w:val="004C3898"/>
    <w:rsid w:val="004C6EDD"/>
    <w:rsid w:val="004D0261"/>
    <w:rsid w:val="004D0DAC"/>
    <w:rsid w:val="004D1583"/>
    <w:rsid w:val="004D2237"/>
    <w:rsid w:val="004D2C24"/>
    <w:rsid w:val="004D36B1"/>
    <w:rsid w:val="004D4267"/>
    <w:rsid w:val="004D4B39"/>
    <w:rsid w:val="004D61A4"/>
    <w:rsid w:val="004D624E"/>
    <w:rsid w:val="004D6568"/>
    <w:rsid w:val="004D7587"/>
    <w:rsid w:val="004D7EBD"/>
    <w:rsid w:val="004E0BD6"/>
    <w:rsid w:val="004E1A9A"/>
    <w:rsid w:val="004E2680"/>
    <w:rsid w:val="004E2692"/>
    <w:rsid w:val="004E2847"/>
    <w:rsid w:val="004E28F9"/>
    <w:rsid w:val="004E2A64"/>
    <w:rsid w:val="004E2F31"/>
    <w:rsid w:val="004E3E96"/>
    <w:rsid w:val="004E462E"/>
    <w:rsid w:val="004E4A44"/>
    <w:rsid w:val="004E4F53"/>
    <w:rsid w:val="004E56DC"/>
    <w:rsid w:val="004E5AC2"/>
    <w:rsid w:val="004E6960"/>
    <w:rsid w:val="004E70E5"/>
    <w:rsid w:val="004E76F4"/>
    <w:rsid w:val="004E7980"/>
    <w:rsid w:val="004F0B4E"/>
    <w:rsid w:val="004F0B6C"/>
    <w:rsid w:val="004F2078"/>
    <w:rsid w:val="004F2C96"/>
    <w:rsid w:val="004F323E"/>
    <w:rsid w:val="004F45F4"/>
    <w:rsid w:val="004F4DA3"/>
    <w:rsid w:val="004F5774"/>
    <w:rsid w:val="004F5A52"/>
    <w:rsid w:val="004F7740"/>
    <w:rsid w:val="0050013B"/>
    <w:rsid w:val="0050054E"/>
    <w:rsid w:val="0050134F"/>
    <w:rsid w:val="00501596"/>
    <w:rsid w:val="00502773"/>
    <w:rsid w:val="00502BEC"/>
    <w:rsid w:val="00502EE3"/>
    <w:rsid w:val="005030FF"/>
    <w:rsid w:val="0050327E"/>
    <w:rsid w:val="0050361D"/>
    <w:rsid w:val="0050462F"/>
    <w:rsid w:val="00504651"/>
    <w:rsid w:val="005052CC"/>
    <w:rsid w:val="00505477"/>
    <w:rsid w:val="00505518"/>
    <w:rsid w:val="00505623"/>
    <w:rsid w:val="00506557"/>
    <w:rsid w:val="0050677A"/>
    <w:rsid w:val="00506CB0"/>
    <w:rsid w:val="00507454"/>
    <w:rsid w:val="005079A0"/>
    <w:rsid w:val="005108D8"/>
    <w:rsid w:val="00511033"/>
    <w:rsid w:val="005111A1"/>
    <w:rsid w:val="005116F9"/>
    <w:rsid w:val="00511C2A"/>
    <w:rsid w:val="00511C94"/>
    <w:rsid w:val="005127BF"/>
    <w:rsid w:val="00512AC1"/>
    <w:rsid w:val="0051428E"/>
    <w:rsid w:val="005146B6"/>
    <w:rsid w:val="00514D57"/>
    <w:rsid w:val="0051524C"/>
    <w:rsid w:val="005153A7"/>
    <w:rsid w:val="005154C5"/>
    <w:rsid w:val="00516D04"/>
    <w:rsid w:val="00517342"/>
    <w:rsid w:val="0051755D"/>
    <w:rsid w:val="0051763A"/>
    <w:rsid w:val="005219CF"/>
    <w:rsid w:val="00522BD2"/>
    <w:rsid w:val="00522D07"/>
    <w:rsid w:val="00525F75"/>
    <w:rsid w:val="005267A6"/>
    <w:rsid w:val="00526C0D"/>
    <w:rsid w:val="00526DFA"/>
    <w:rsid w:val="005271C7"/>
    <w:rsid w:val="00527A8E"/>
    <w:rsid w:val="00531534"/>
    <w:rsid w:val="00531F1D"/>
    <w:rsid w:val="00533586"/>
    <w:rsid w:val="005336B9"/>
    <w:rsid w:val="005338D0"/>
    <w:rsid w:val="00533943"/>
    <w:rsid w:val="00533AB8"/>
    <w:rsid w:val="00534103"/>
    <w:rsid w:val="00534B59"/>
    <w:rsid w:val="00536759"/>
    <w:rsid w:val="005369A8"/>
    <w:rsid w:val="005370C0"/>
    <w:rsid w:val="005372E4"/>
    <w:rsid w:val="0053774B"/>
    <w:rsid w:val="00537C62"/>
    <w:rsid w:val="0054098C"/>
    <w:rsid w:val="005429CD"/>
    <w:rsid w:val="00543046"/>
    <w:rsid w:val="00543336"/>
    <w:rsid w:val="00544A43"/>
    <w:rsid w:val="00544A86"/>
    <w:rsid w:val="00545767"/>
    <w:rsid w:val="00546849"/>
    <w:rsid w:val="00546970"/>
    <w:rsid w:val="00547A14"/>
    <w:rsid w:val="00547DBA"/>
    <w:rsid w:val="00551115"/>
    <w:rsid w:val="0055288B"/>
    <w:rsid w:val="00552E44"/>
    <w:rsid w:val="00553715"/>
    <w:rsid w:val="005539AA"/>
    <w:rsid w:val="00554E19"/>
    <w:rsid w:val="00555216"/>
    <w:rsid w:val="00555D73"/>
    <w:rsid w:val="005564FC"/>
    <w:rsid w:val="005569ED"/>
    <w:rsid w:val="00556AAA"/>
    <w:rsid w:val="00557CD1"/>
    <w:rsid w:val="00560351"/>
    <w:rsid w:val="00560FC4"/>
    <w:rsid w:val="00561182"/>
    <w:rsid w:val="0056121F"/>
    <w:rsid w:val="00561320"/>
    <w:rsid w:val="005618C0"/>
    <w:rsid w:val="005621CC"/>
    <w:rsid w:val="00562C3A"/>
    <w:rsid w:val="00564C6D"/>
    <w:rsid w:val="00566F0B"/>
    <w:rsid w:val="00567F19"/>
    <w:rsid w:val="00572505"/>
    <w:rsid w:val="0057278B"/>
    <w:rsid w:val="00573026"/>
    <w:rsid w:val="005733BD"/>
    <w:rsid w:val="00573A1A"/>
    <w:rsid w:val="00573AB6"/>
    <w:rsid w:val="00575648"/>
    <w:rsid w:val="005757AC"/>
    <w:rsid w:val="00575DD1"/>
    <w:rsid w:val="00580202"/>
    <w:rsid w:val="00580414"/>
    <w:rsid w:val="0058045B"/>
    <w:rsid w:val="005819C2"/>
    <w:rsid w:val="00581A52"/>
    <w:rsid w:val="00581E64"/>
    <w:rsid w:val="00582809"/>
    <w:rsid w:val="00582A4A"/>
    <w:rsid w:val="00584ABE"/>
    <w:rsid w:val="0058579D"/>
    <w:rsid w:val="00586525"/>
    <w:rsid w:val="005874C6"/>
    <w:rsid w:val="0058798C"/>
    <w:rsid w:val="005900FA"/>
    <w:rsid w:val="00590748"/>
    <w:rsid w:val="00591B25"/>
    <w:rsid w:val="005923F4"/>
    <w:rsid w:val="00592D02"/>
    <w:rsid w:val="005935A4"/>
    <w:rsid w:val="005936D3"/>
    <w:rsid w:val="005948C2"/>
    <w:rsid w:val="00594F8D"/>
    <w:rsid w:val="00595DCA"/>
    <w:rsid w:val="00596224"/>
    <w:rsid w:val="00596EE6"/>
    <w:rsid w:val="0059779B"/>
    <w:rsid w:val="00597F42"/>
    <w:rsid w:val="005A0D5F"/>
    <w:rsid w:val="005A1755"/>
    <w:rsid w:val="005A1B3B"/>
    <w:rsid w:val="005A209A"/>
    <w:rsid w:val="005A28ED"/>
    <w:rsid w:val="005A2A38"/>
    <w:rsid w:val="005A3ADD"/>
    <w:rsid w:val="005A3D7C"/>
    <w:rsid w:val="005A4518"/>
    <w:rsid w:val="005A5323"/>
    <w:rsid w:val="005A564C"/>
    <w:rsid w:val="005A65A0"/>
    <w:rsid w:val="005A662D"/>
    <w:rsid w:val="005A67FF"/>
    <w:rsid w:val="005A6E1D"/>
    <w:rsid w:val="005A79FE"/>
    <w:rsid w:val="005B05B8"/>
    <w:rsid w:val="005B2C2F"/>
    <w:rsid w:val="005B35D7"/>
    <w:rsid w:val="005B392A"/>
    <w:rsid w:val="005B3AA3"/>
    <w:rsid w:val="005B3B00"/>
    <w:rsid w:val="005B41BD"/>
    <w:rsid w:val="005B4E16"/>
    <w:rsid w:val="005B6695"/>
    <w:rsid w:val="005B6A14"/>
    <w:rsid w:val="005B6F83"/>
    <w:rsid w:val="005B7B3C"/>
    <w:rsid w:val="005B7FCE"/>
    <w:rsid w:val="005C0751"/>
    <w:rsid w:val="005C0B2B"/>
    <w:rsid w:val="005C0DB0"/>
    <w:rsid w:val="005C2995"/>
    <w:rsid w:val="005C32E7"/>
    <w:rsid w:val="005C493C"/>
    <w:rsid w:val="005C5924"/>
    <w:rsid w:val="005C629E"/>
    <w:rsid w:val="005C63AB"/>
    <w:rsid w:val="005C74FB"/>
    <w:rsid w:val="005D1498"/>
    <w:rsid w:val="005D1602"/>
    <w:rsid w:val="005D1A70"/>
    <w:rsid w:val="005D2EEA"/>
    <w:rsid w:val="005D2FCC"/>
    <w:rsid w:val="005D5119"/>
    <w:rsid w:val="005D65DE"/>
    <w:rsid w:val="005D6B0B"/>
    <w:rsid w:val="005D759D"/>
    <w:rsid w:val="005D7864"/>
    <w:rsid w:val="005D7BBD"/>
    <w:rsid w:val="005E05A0"/>
    <w:rsid w:val="005E30FD"/>
    <w:rsid w:val="005E3221"/>
    <w:rsid w:val="005E385F"/>
    <w:rsid w:val="005E3915"/>
    <w:rsid w:val="005E594B"/>
    <w:rsid w:val="005E5B81"/>
    <w:rsid w:val="005E5D85"/>
    <w:rsid w:val="005F0652"/>
    <w:rsid w:val="005F06E0"/>
    <w:rsid w:val="005F168C"/>
    <w:rsid w:val="005F2CB1"/>
    <w:rsid w:val="005F3025"/>
    <w:rsid w:val="005F3099"/>
    <w:rsid w:val="005F32B4"/>
    <w:rsid w:val="005F3AC1"/>
    <w:rsid w:val="005F3E41"/>
    <w:rsid w:val="005F4D03"/>
    <w:rsid w:val="005F50BF"/>
    <w:rsid w:val="005F51B1"/>
    <w:rsid w:val="005F528E"/>
    <w:rsid w:val="005F5369"/>
    <w:rsid w:val="005F618C"/>
    <w:rsid w:val="005F70BD"/>
    <w:rsid w:val="00600BD2"/>
    <w:rsid w:val="00601ACA"/>
    <w:rsid w:val="00601D9D"/>
    <w:rsid w:val="0060283C"/>
    <w:rsid w:val="00603175"/>
    <w:rsid w:val="00603C0A"/>
    <w:rsid w:val="00604F14"/>
    <w:rsid w:val="00605EA1"/>
    <w:rsid w:val="00605F62"/>
    <w:rsid w:val="00606280"/>
    <w:rsid w:val="0060688F"/>
    <w:rsid w:val="00610371"/>
    <w:rsid w:val="00611B32"/>
    <w:rsid w:val="00611B83"/>
    <w:rsid w:val="00611BEC"/>
    <w:rsid w:val="006127E4"/>
    <w:rsid w:val="00612F93"/>
    <w:rsid w:val="00613257"/>
    <w:rsid w:val="0061621D"/>
    <w:rsid w:val="00616C82"/>
    <w:rsid w:val="00620A71"/>
    <w:rsid w:val="00620D80"/>
    <w:rsid w:val="00620F98"/>
    <w:rsid w:val="006214F5"/>
    <w:rsid w:val="00621524"/>
    <w:rsid w:val="006234A6"/>
    <w:rsid w:val="006240CA"/>
    <w:rsid w:val="00624496"/>
    <w:rsid w:val="00624D23"/>
    <w:rsid w:val="00624F8F"/>
    <w:rsid w:val="006276C5"/>
    <w:rsid w:val="00627DBB"/>
    <w:rsid w:val="00630001"/>
    <w:rsid w:val="0063113C"/>
    <w:rsid w:val="006311B3"/>
    <w:rsid w:val="00631834"/>
    <w:rsid w:val="00631EDD"/>
    <w:rsid w:val="0063284C"/>
    <w:rsid w:val="00633833"/>
    <w:rsid w:val="0063397D"/>
    <w:rsid w:val="0063502D"/>
    <w:rsid w:val="00635670"/>
    <w:rsid w:val="006356F5"/>
    <w:rsid w:val="00635F6F"/>
    <w:rsid w:val="00636046"/>
    <w:rsid w:val="00636398"/>
    <w:rsid w:val="006368D3"/>
    <w:rsid w:val="00636A5D"/>
    <w:rsid w:val="0063734E"/>
    <w:rsid w:val="006377EC"/>
    <w:rsid w:val="00637FC0"/>
    <w:rsid w:val="0064151F"/>
    <w:rsid w:val="00641533"/>
    <w:rsid w:val="0064208D"/>
    <w:rsid w:val="006424F0"/>
    <w:rsid w:val="0064304C"/>
    <w:rsid w:val="00643475"/>
    <w:rsid w:val="0064396A"/>
    <w:rsid w:val="00643A41"/>
    <w:rsid w:val="0064500A"/>
    <w:rsid w:val="00645527"/>
    <w:rsid w:val="0064624E"/>
    <w:rsid w:val="0064668B"/>
    <w:rsid w:val="00650AB9"/>
    <w:rsid w:val="00650C8A"/>
    <w:rsid w:val="00651393"/>
    <w:rsid w:val="00651D46"/>
    <w:rsid w:val="006528F9"/>
    <w:rsid w:val="00652C89"/>
    <w:rsid w:val="00652DCB"/>
    <w:rsid w:val="0065347D"/>
    <w:rsid w:val="0065367D"/>
    <w:rsid w:val="00653C3C"/>
    <w:rsid w:val="006542B7"/>
    <w:rsid w:val="00654D99"/>
    <w:rsid w:val="00655733"/>
    <w:rsid w:val="00655ACD"/>
    <w:rsid w:val="00656852"/>
    <w:rsid w:val="00656A92"/>
    <w:rsid w:val="00656DDE"/>
    <w:rsid w:val="0066011D"/>
    <w:rsid w:val="006607C0"/>
    <w:rsid w:val="00661166"/>
    <w:rsid w:val="006613A6"/>
    <w:rsid w:val="006623C8"/>
    <w:rsid w:val="006627A2"/>
    <w:rsid w:val="006634E6"/>
    <w:rsid w:val="006639D9"/>
    <w:rsid w:val="00663BE6"/>
    <w:rsid w:val="0066547A"/>
    <w:rsid w:val="006655EE"/>
    <w:rsid w:val="00667D66"/>
    <w:rsid w:val="00667EE7"/>
    <w:rsid w:val="00670051"/>
    <w:rsid w:val="00670922"/>
    <w:rsid w:val="00670BE1"/>
    <w:rsid w:val="00670D57"/>
    <w:rsid w:val="00670E0F"/>
    <w:rsid w:val="0067218F"/>
    <w:rsid w:val="00672457"/>
    <w:rsid w:val="00673C16"/>
    <w:rsid w:val="006741F2"/>
    <w:rsid w:val="00674CC3"/>
    <w:rsid w:val="006752B5"/>
    <w:rsid w:val="00675719"/>
    <w:rsid w:val="00675C72"/>
    <w:rsid w:val="00676012"/>
    <w:rsid w:val="00676491"/>
    <w:rsid w:val="00676AF2"/>
    <w:rsid w:val="00677161"/>
    <w:rsid w:val="006771F9"/>
    <w:rsid w:val="006776D7"/>
    <w:rsid w:val="00677DA0"/>
    <w:rsid w:val="00681003"/>
    <w:rsid w:val="006817C9"/>
    <w:rsid w:val="00681D82"/>
    <w:rsid w:val="0068235B"/>
    <w:rsid w:val="00682BA6"/>
    <w:rsid w:val="00682E35"/>
    <w:rsid w:val="00683ECE"/>
    <w:rsid w:val="006842A2"/>
    <w:rsid w:val="00685906"/>
    <w:rsid w:val="00687629"/>
    <w:rsid w:val="00690B70"/>
    <w:rsid w:val="00690DA1"/>
    <w:rsid w:val="006913A9"/>
    <w:rsid w:val="00692B16"/>
    <w:rsid w:val="00694683"/>
    <w:rsid w:val="00695FC2"/>
    <w:rsid w:val="00696949"/>
    <w:rsid w:val="00697052"/>
    <w:rsid w:val="00697220"/>
    <w:rsid w:val="006979A5"/>
    <w:rsid w:val="00697D6E"/>
    <w:rsid w:val="006A0325"/>
    <w:rsid w:val="006A0D62"/>
    <w:rsid w:val="006A0FB8"/>
    <w:rsid w:val="006A2323"/>
    <w:rsid w:val="006A30AF"/>
    <w:rsid w:val="006A4283"/>
    <w:rsid w:val="006A4483"/>
    <w:rsid w:val="006A45D5"/>
    <w:rsid w:val="006A46FB"/>
    <w:rsid w:val="006A5561"/>
    <w:rsid w:val="006A5E28"/>
    <w:rsid w:val="006A6086"/>
    <w:rsid w:val="006A697B"/>
    <w:rsid w:val="006A71A0"/>
    <w:rsid w:val="006A7988"/>
    <w:rsid w:val="006A7AFF"/>
    <w:rsid w:val="006A7D08"/>
    <w:rsid w:val="006B1816"/>
    <w:rsid w:val="006B2099"/>
    <w:rsid w:val="006B258C"/>
    <w:rsid w:val="006B2E4F"/>
    <w:rsid w:val="006B2FD3"/>
    <w:rsid w:val="006B369F"/>
    <w:rsid w:val="006B4AE7"/>
    <w:rsid w:val="006B50CF"/>
    <w:rsid w:val="006B5C2B"/>
    <w:rsid w:val="006B5EE4"/>
    <w:rsid w:val="006B6276"/>
    <w:rsid w:val="006B67CF"/>
    <w:rsid w:val="006B6BC3"/>
    <w:rsid w:val="006B77B1"/>
    <w:rsid w:val="006C03B8"/>
    <w:rsid w:val="006C1F10"/>
    <w:rsid w:val="006C2105"/>
    <w:rsid w:val="006C2536"/>
    <w:rsid w:val="006C2B61"/>
    <w:rsid w:val="006C44C2"/>
    <w:rsid w:val="006C5EC9"/>
    <w:rsid w:val="006C6059"/>
    <w:rsid w:val="006C6B2A"/>
    <w:rsid w:val="006C6BE1"/>
    <w:rsid w:val="006C7522"/>
    <w:rsid w:val="006C78FD"/>
    <w:rsid w:val="006D02E6"/>
    <w:rsid w:val="006D0580"/>
    <w:rsid w:val="006D0AB6"/>
    <w:rsid w:val="006D1F63"/>
    <w:rsid w:val="006D2A46"/>
    <w:rsid w:val="006D3055"/>
    <w:rsid w:val="006D4E16"/>
    <w:rsid w:val="006D56C8"/>
    <w:rsid w:val="006D571C"/>
    <w:rsid w:val="006D57EE"/>
    <w:rsid w:val="006D666D"/>
    <w:rsid w:val="006D6BC9"/>
    <w:rsid w:val="006D6F08"/>
    <w:rsid w:val="006D7524"/>
    <w:rsid w:val="006E062C"/>
    <w:rsid w:val="006E28B7"/>
    <w:rsid w:val="006E3310"/>
    <w:rsid w:val="006E4E39"/>
    <w:rsid w:val="006E52E2"/>
    <w:rsid w:val="006E565E"/>
    <w:rsid w:val="006E5CE1"/>
    <w:rsid w:val="006E61DD"/>
    <w:rsid w:val="006E64B5"/>
    <w:rsid w:val="006E673D"/>
    <w:rsid w:val="006E7D3B"/>
    <w:rsid w:val="006F0014"/>
    <w:rsid w:val="006F0B65"/>
    <w:rsid w:val="006F0CAD"/>
    <w:rsid w:val="006F1B70"/>
    <w:rsid w:val="006F1F40"/>
    <w:rsid w:val="006F20F6"/>
    <w:rsid w:val="006F271B"/>
    <w:rsid w:val="006F2A1A"/>
    <w:rsid w:val="006F341D"/>
    <w:rsid w:val="006F3455"/>
    <w:rsid w:val="006F3CDE"/>
    <w:rsid w:val="006F4D00"/>
    <w:rsid w:val="006F5261"/>
    <w:rsid w:val="006F58D4"/>
    <w:rsid w:val="006F6D56"/>
    <w:rsid w:val="006F7626"/>
    <w:rsid w:val="00700649"/>
    <w:rsid w:val="00701145"/>
    <w:rsid w:val="0070219A"/>
    <w:rsid w:val="00702784"/>
    <w:rsid w:val="0070337D"/>
    <w:rsid w:val="0070346E"/>
    <w:rsid w:val="0070468C"/>
    <w:rsid w:val="00704EDB"/>
    <w:rsid w:val="0070537F"/>
    <w:rsid w:val="0070568B"/>
    <w:rsid w:val="00706028"/>
    <w:rsid w:val="00706101"/>
    <w:rsid w:val="007065AD"/>
    <w:rsid w:val="00707072"/>
    <w:rsid w:val="00707706"/>
    <w:rsid w:val="00707D61"/>
    <w:rsid w:val="007110CB"/>
    <w:rsid w:val="00711592"/>
    <w:rsid w:val="00712287"/>
    <w:rsid w:val="007126F5"/>
    <w:rsid w:val="00712772"/>
    <w:rsid w:val="00713DDE"/>
    <w:rsid w:val="00714403"/>
    <w:rsid w:val="007144F3"/>
    <w:rsid w:val="0071453A"/>
    <w:rsid w:val="007146AF"/>
    <w:rsid w:val="007148D3"/>
    <w:rsid w:val="00715146"/>
    <w:rsid w:val="00715B9A"/>
    <w:rsid w:val="00715F3A"/>
    <w:rsid w:val="007161C5"/>
    <w:rsid w:val="0071798B"/>
    <w:rsid w:val="00720376"/>
    <w:rsid w:val="007205B8"/>
    <w:rsid w:val="00721593"/>
    <w:rsid w:val="007215DD"/>
    <w:rsid w:val="00721DDC"/>
    <w:rsid w:val="007225B3"/>
    <w:rsid w:val="007236F7"/>
    <w:rsid w:val="00723EE0"/>
    <w:rsid w:val="007267A9"/>
    <w:rsid w:val="00726EA6"/>
    <w:rsid w:val="00726ED5"/>
    <w:rsid w:val="00727208"/>
    <w:rsid w:val="00727680"/>
    <w:rsid w:val="00727FF0"/>
    <w:rsid w:val="00730138"/>
    <w:rsid w:val="00732124"/>
    <w:rsid w:val="00732747"/>
    <w:rsid w:val="0073425D"/>
    <w:rsid w:val="0073471F"/>
    <w:rsid w:val="007348B1"/>
    <w:rsid w:val="00734B23"/>
    <w:rsid w:val="0073547A"/>
    <w:rsid w:val="007362A6"/>
    <w:rsid w:val="00736964"/>
    <w:rsid w:val="00736D7D"/>
    <w:rsid w:val="0073735E"/>
    <w:rsid w:val="00740344"/>
    <w:rsid w:val="00740E58"/>
    <w:rsid w:val="0074116E"/>
    <w:rsid w:val="00741253"/>
    <w:rsid w:val="00742E3D"/>
    <w:rsid w:val="0074405B"/>
    <w:rsid w:val="00744142"/>
    <w:rsid w:val="007445A0"/>
    <w:rsid w:val="00744628"/>
    <w:rsid w:val="00744ECC"/>
    <w:rsid w:val="00744F42"/>
    <w:rsid w:val="0074524B"/>
    <w:rsid w:val="007460A0"/>
    <w:rsid w:val="00747D8B"/>
    <w:rsid w:val="00751228"/>
    <w:rsid w:val="007514FE"/>
    <w:rsid w:val="0075236C"/>
    <w:rsid w:val="007535D6"/>
    <w:rsid w:val="00753CAE"/>
    <w:rsid w:val="00754402"/>
    <w:rsid w:val="007571E1"/>
    <w:rsid w:val="00757D8B"/>
    <w:rsid w:val="007604B2"/>
    <w:rsid w:val="00761069"/>
    <w:rsid w:val="00761D2D"/>
    <w:rsid w:val="00762852"/>
    <w:rsid w:val="00763989"/>
    <w:rsid w:val="00763BB3"/>
    <w:rsid w:val="00763FF2"/>
    <w:rsid w:val="0076431C"/>
    <w:rsid w:val="00765281"/>
    <w:rsid w:val="00765787"/>
    <w:rsid w:val="00765F24"/>
    <w:rsid w:val="007662D3"/>
    <w:rsid w:val="00766517"/>
    <w:rsid w:val="00766BAD"/>
    <w:rsid w:val="00767A0C"/>
    <w:rsid w:val="00770B36"/>
    <w:rsid w:val="00770B65"/>
    <w:rsid w:val="007716C3"/>
    <w:rsid w:val="00772741"/>
    <w:rsid w:val="007730BD"/>
    <w:rsid w:val="0077317C"/>
    <w:rsid w:val="007740E3"/>
    <w:rsid w:val="0077493B"/>
    <w:rsid w:val="007755F2"/>
    <w:rsid w:val="00775BC4"/>
    <w:rsid w:val="00775C76"/>
    <w:rsid w:val="00776710"/>
    <w:rsid w:val="00776971"/>
    <w:rsid w:val="00776D9E"/>
    <w:rsid w:val="00777025"/>
    <w:rsid w:val="007804ED"/>
    <w:rsid w:val="0078177E"/>
    <w:rsid w:val="0078203A"/>
    <w:rsid w:val="0078304C"/>
    <w:rsid w:val="00783673"/>
    <w:rsid w:val="00783CAF"/>
    <w:rsid w:val="00784079"/>
    <w:rsid w:val="00784E8D"/>
    <w:rsid w:val="00785490"/>
    <w:rsid w:val="0078737E"/>
    <w:rsid w:val="00790829"/>
    <w:rsid w:val="007920CE"/>
    <w:rsid w:val="00792486"/>
    <w:rsid w:val="007925EA"/>
    <w:rsid w:val="00792953"/>
    <w:rsid w:val="007937EB"/>
    <w:rsid w:val="00793C87"/>
    <w:rsid w:val="00793CD8"/>
    <w:rsid w:val="00795C92"/>
    <w:rsid w:val="00796231"/>
    <w:rsid w:val="007965FE"/>
    <w:rsid w:val="007A000A"/>
    <w:rsid w:val="007A064E"/>
    <w:rsid w:val="007A0AED"/>
    <w:rsid w:val="007A1083"/>
    <w:rsid w:val="007A18AB"/>
    <w:rsid w:val="007A1CB3"/>
    <w:rsid w:val="007A306F"/>
    <w:rsid w:val="007A3431"/>
    <w:rsid w:val="007A3A3A"/>
    <w:rsid w:val="007A3FE1"/>
    <w:rsid w:val="007A43A6"/>
    <w:rsid w:val="007A4B86"/>
    <w:rsid w:val="007A4E98"/>
    <w:rsid w:val="007A5194"/>
    <w:rsid w:val="007A554B"/>
    <w:rsid w:val="007A58A6"/>
    <w:rsid w:val="007A5933"/>
    <w:rsid w:val="007A6346"/>
    <w:rsid w:val="007B09AA"/>
    <w:rsid w:val="007B35BB"/>
    <w:rsid w:val="007B373E"/>
    <w:rsid w:val="007B3D2D"/>
    <w:rsid w:val="007B50AE"/>
    <w:rsid w:val="007B51DF"/>
    <w:rsid w:val="007B5ACB"/>
    <w:rsid w:val="007B71D2"/>
    <w:rsid w:val="007C05DD"/>
    <w:rsid w:val="007C06DE"/>
    <w:rsid w:val="007C08B7"/>
    <w:rsid w:val="007C0A75"/>
    <w:rsid w:val="007C16BA"/>
    <w:rsid w:val="007C2F4B"/>
    <w:rsid w:val="007C342A"/>
    <w:rsid w:val="007C3953"/>
    <w:rsid w:val="007C3D18"/>
    <w:rsid w:val="007C3E6A"/>
    <w:rsid w:val="007C40D0"/>
    <w:rsid w:val="007C44CC"/>
    <w:rsid w:val="007C60BF"/>
    <w:rsid w:val="007C6384"/>
    <w:rsid w:val="007C65A6"/>
    <w:rsid w:val="007C6A07"/>
    <w:rsid w:val="007C6ABE"/>
    <w:rsid w:val="007C6B2F"/>
    <w:rsid w:val="007C75A1"/>
    <w:rsid w:val="007C77A5"/>
    <w:rsid w:val="007D024E"/>
    <w:rsid w:val="007D04E5"/>
    <w:rsid w:val="007D116A"/>
    <w:rsid w:val="007D13F9"/>
    <w:rsid w:val="007D1444"/>
    <w:rsid w:val="007D3941"/>
    <w:rsid w:val="007D3FDF"/>
    <w:rsid w:val="007D5901"/>
    <w:rsid w:val="007D7526"/>
    <w:rsid w:val="007E1096"/>
    <w:rsid w:val="007E1DCF"/>
    <w:rsid w:val="007E28CE"/>
    <w:rsid w:val="007E2C0D"/>
    <w:rsid w:val="007E3090"/>
    <w:rsid w:val="007E324C"/>
    <w:rsid w:val="007E3B90"/>
    <w:rsid w:val="007E3DFC"/>
    <w:rsid w:val="007E3ED6"/>
    <w:rsid w:val="007E421A"/>
    <w:rsid w:val="007E459D"/>
    <w:rsid w:val="007E4610"/>
    <w:rsid w:val="007E4715"/>
    <w:rsid w:val="007E505B"/>
    <w:rsid w:val="007E5389"/>
    <w:rsid w:val="007E55D7"/>
    <w:rsid w:val="007E5FE8"/>
    <w:rsid w:val="007E6788"/>
    <w:rsid w:val="007E7091"/>
    <w:rsid w:val="007E7E83"/>
    <w:rsid w:val="007F0115"/>
    <w:rsid w:val="007F03C3"/>
    <w:rsid w:val="007F0A6C"/>
    <w:rsid w:val="007F0C73"/>
    <w:rsid w:val="007F1327"/>
    <w:rsid w:val="007F1359"/>
    <w:rsid w:val="007F1E74"/>
    <w:rsid w:val="007F26F1"/>
    <w:rsid w:val="007F66B1"/>
    <w:rsid w:val="007F6B66"/>
    <w:rsid w:val="007F7709"/>
    <w:rsid w:val="0080049D"/>
    <w:rsid w:val="008036DF"/>
    <w:rsid w:val="00803B8A"/>
    <w:rsid w:val="00803FAE"/>
    <w:rsid w:val="00804DCD"/>
    <w:rsid w:val="0080605F"/>
    <w:rsid w:val="00807786"/>
    <w:rsid w:val="008078A7"/>
    <w:rsid w:val="0081026D"/>
    <w:rsid w:val="0081055B"/>
    <w:rsid w:val="00810B2F"/>
    <w:rsid w:val="00811505"/>
    <w:rsid w:val="00811FCB"/>
    <w:rsid w:val="008127DB"/>
    <w:rsid w:val="00813CBF"/>
    <w:rsid w:val="008144B9"/>
    <w:rsid w:val="008158D6"/>
    <w:rsid w:val="0081606D"/>
    <w:rsid w:val="00817196"/>
    <w:rsid w:val="00817EDE"/>
    <w:rsid w:val="00821528"/>
    <w:rsid w:val="00821AC8"/>
    <w:rsid w:val="00821CC9"/>
    <w:rsid w:val="008227DA"/>
    <w:rsid w:val="00822D30"/>
    <w:rsid w:val="00823081"/>
    <w:rsid w:val="008235DB"/>
    <w:rsid w:val="008237F7"/>
    <w:rsid w:val="00824AB4"/>
    <w:rsid w:val="00824B72"/>
    <w:rsid w:val="00824DBA"/>
    <w:rsid w:val="00825039"/>
    <w:rsid w:val="008258A9"/>
    <w:rsid w:val="00825C42"/>
    <w:rsid w:val="00825D25"/>
    <w:rsid w:val="0082715F"/>
    <w:rsid w:val="00827947"/>
    <w:rsid w:val="00827D6F"/>
    <w:rsid w:val="00827E1A"/>
    <w:rsid w:val="008311F3"/>
    <w:rsid w:val="00831210"/>
    <w:rsid w:val="00833960"/>
    <w:rsid w:val="00834D2B"/>
    <w:rsid w:val="00836544"/>
    <w:rsid w:val="00836B11"/>
    <w:rsid w:val="00836E04"/>
    <w:rsid w:val="00837322"/>
    <w:rsid w:val="0083765F"/>
    <w:rsid w:val="008376AC"/>
    <w:rsid w:val="0084063F"/>
    <w:rsid w:val="0084116C"/>
    <w:rsid w:val="008414D6"/>
    <w:rsid w:val="00841CB3"/>
    <w:rsid w:val="008429FB"/>
    <w:rsid w:val="00843033"/>
    <w:rsid w:val="008444E8"/>
    <w:rsid w:val="00844846"/>
    <w:rsid w:val="00844CD6"/>
    <w:rsid w:val="00844E80"/>
    <w:rsid w:val="0084538C"/>
    <w:rsid w:val="0084591D"/>
    <w:rsid w:val="008466D7"/>
    <w:rsid w:val="00846FE7"/>
    <w:rsid w:val="00847403"/>
    <w:rsid w:val="00847FC4"/>
    <w:rsid w:val="008501FF"/>
    <w:rsid w:val="00850CEC"/>
    <w:rsid w:val="00850E9E"/>
    <w:rsid w:val="00852270"/>
    <w:rsid w:val="008525BE"/>
    <w:rsid w:val="008526B7"/>
    <w:rsid w:val="00854B3A"/>
    <w:rsid w:val="00854F1E"/>
    <w:rsid w:val="00855CE7"/>
    <w:rsid w:val="00856758"/>
    <w:rsid w:val="00856911"/>
    <w:rsid w:val="008579D7"/>
    <w:rsid w:val="00860458"/>
    <w:rsid w:val="008616A9"/>
    <w:rsid w:val="008628C0"/>
    <w:rsid w:val="00862DDD"/>
    <w:rsid w:val="00862F84"/>
    <w:rsid w:val="00864814"/>
    <w:rsid w:val="00865044"/>
    <w:rsid w:val="00865151"/>
    <w:rsid w:val="00865524"/>
    <w:rsid w:val="00865698"/>
    <w:rsid w:val="0086758D"/>
    <w:rsid w:val="008677FD"/>
    <w:rsid w:val="008706D4"/>
    <w:rsid w:val="00870F8A"/>
    <w:rsid w:val="008718CE"/>
    <w:rsid w:val="008719A4"/>
    <w:rsid w:val="00871D23"/>
    <w:rsid w:val="00874312"/>
    <w:rsid w:val="0087437C"/>
    <w:rsid w:val="00875CD7"/>
    <w:rsid w:val="0087646B"/>
    <w:rsid w:val="00876B4D"/>
    <w:rsid w:val="00877F18"/>
    <w:rsid w:val="0088016B"/>
    <w:rsid w:val="00881029"/>
    <w:rsid w:val="00881E6C"/>
    <w:rsid w:val="008820B7"/>
    <w:rsid w:val="00883E8B"/>
    <w:rsid w:val="00884366"/>
    <w:rsid w:val="00884C56"/>
    <w:rsid w:val="00885387"/>
    <w:rsid w:val="008864B9"/>
    <w:rsid w:val="008869D3"/>
    <w:rsid w:val="00891FA7"/>
    <w:rsid w:val="00892C99"/>
    <w:rsid w:val="00893C6A"/>
    <w:rsid w:val="0089486C"/>
    <w:rsid w:val="00894873"/>
    <w:rsid w:val="00894A88"/>
    <w:rsid w:val="00894EFA"/>
    <w:rsid w:val="00895386"/>
    <w:rsid w:val="00895660"/>
    <w:rsid w:val="00897036"/>
    <w:rsid w:val="008A0628"/>
    <w:rsid w:val="008A0758"/>
    <w:rsid w:val="008A0899"/>
    <w:rsid w:val="008A13D7"/>
    <w:rsid w:val="008A1DD4"/>
    <w:rsid w:val="008A21FF"/>
    <w:rsid w:val="008A2CE2"/>
    <w:rsid w:val="008A30AC"/>
    <w:rsid w:val="008A3634"/>
    <w:rsid w:val="008A3808"/>
    <w:rsid w:val="008A3A6A"/>
    <w:rsid w:val="008A41D2"/>
    <w:rsid w:val="008A44B8"/>
    <w:rsid w:val="008A4CCF"/>
    <w:rsid w:val="008A4CE0"/>
    <w:rsid w:val="008A51A8"/>
    <w:rsid w:val="008A54C7"/>
    <w:rsid w:val="008A5555"/>
    <w:rsid w:val="008A62CC"/>
    <w:rsid w:val="008A77D8"/>
    <w:rsid w:val="008A7B10"/>
    <w:rsid w:val="008A7CD6"/>
    <w:rsid w:val="008B0483"/>
    <w:rsid w:val="008B120C"/>
    <w:rsid w:val="008B40D0"/>
    <w:rsid w:val="008B4BEE"/>
    <w:rsid w:val="008B51A0"/>
    <w:rsid w:val="008B5563"/>
    <w:rsid w:val="008B592A"/>
    <w:rsid w:val="008B5C67"/>
    <w:rsid w:val="008B5FA2"/>
    <w:rsid w:val="008B63B8"/>
    <w:rsid w:val="008B6C30"/>
    <w:rsid w:val="008B7B5C"/>
    <w:rsid w:val="008C048C"/>
    <w:rsid w:val="008C0A0F"/>
    <w:rsid w:val="008C0C99"/>
    <w:rsid w:val="008C2017"/>
    <w:rsid w:val="008C2246"/>
    <w:rsid w:val="008C2955"/>
    <w:rsid w:val="008C374D"/>
    <w:rsid w:val="008C4958"/>
    <w:rsid w:val="008C4BAA"/>
    <w:rsid w:val="008C586D"/>
    <w:rsid w:val="008C5FA1"/>
    <w:rsid w:val="008C68D0"/>
    <w:rsid w:val="008C6AE8"/>
    <w:rsid w:val="008C6F9D"/>
    <w:rsid w:val="008C7573"/>
    <w:rsid w:val="008C76FE"/>
    <w:rsid w:val="008D0655"/>
    <w:rsid w:val="008D0BFB"/>
    <w:rsid w:val="008D0CE9"/>
    <w:rsid w:val="008D0EFD"/>
    <w:rsid w:val="008D2755"/>
    <w:rsid w:val="008D27D3"/>
    <w:rsid w:val="008D2C0C"/>
    <w:rsid w:val="008D301D"/>
    <w:rsid w:val="008D34F1"/>
    <w:rsid w:val="008D3669"/>
    <w:rsid w:val="008D3858"/>
    <w:rsid w:val="008D39D8"/>
    <w:rsid w:val="008D4336"/>
    <w:rsid w:val="008D527B"/>
    <w:rsid w:val="008D6AF5"/>
    <w:rsid w:val="008D6CCC"/>
    <w:rsid w:val="008D6D1A"/>
    <w:rsid w:val="008D75F1"/>
    <w:rsid w:val="008E065E"/>
    <w:rsid w:val="008E0927"/>
    <w:rsid w:val="008E0BBB"/>
    <w:rsid w:val="008E0F27"/>
    <w:rsid w:val="008E1909"/>
    <w:rsid w:val="008E1B93"/>
    <w:rsid w:val="008E1D88"/>
    <w:rsid w:val="008E2E72"/>
    <w:rsid w:val="008E3445"/>
    <w:rsid w:val="008E3803"/>
    <w:rsid w:val="008E3F0F"/>
    <w:rsid w:val="008E44C2"/>
    <w:rsid w:val="008E4C0F"/>
    <w:rsid w:val="008E6C89"/>
    <w:rsid w:val="008E6DB3"/>
    <w:rsid w:val="008E704B"/>
    <w:rsid w:val="008E76FD"/>
    <w:rsid w:val="008E77A7"/>
    <w:rsid w:val="008F0B25"/>
    <w:rsid w:val="008F109D"/>
    <w:rsid w:val="008F16AD"/>
    <w:rsid w:val="008F1EAB"/>
    <w:rsid w:val="008F2836"/>
    <w:rsid w:val="008F33DC"/>
    <w:rsid w:val="008F477F"/>
    <w:rsid w:val="008F4EC0"/>
    <w:rsid w:val="008F526C"/>
    <w:rsid w:val="008F5482"/>
    <w:rsid w:val="008F55FE"/>
    <w:rsid w:val="008F66B9"/>
    <w:rsid w:val="008F6C3F"/>
    <w:rsid w:val="008F7E0F"/>
    <w:rsid w:val="009012FA"/>
    <w:rsid w:val="00902350"/>
    <w:rsid w:val="00903086"/>
    <w:rsid w:val="0090336B"/>
    <w:rsid w:val="009048CF"/>
    <w:rsid w:val="009053AA"/>
    <w:rsid w:val="0090551F"/>
    <w:rsid w:val="00905723"/>
    <w:rsid w:val="009066A0"/>
    <w:rsid w:val="00906939"/>
    <w:rsid w:val="009069D8"/>
    <w:rsid w:val="0090725E"/>
    <w:rsid w:val="00910AEF"/>
    <w:rsid w:val="00910B7D"/>
    <w:rsid w:val="009115F7"/>
    <w:rsid w:val="00911DFB"/>
    <w:rsid w:val="009120C6"/>
    <w:rsid w:val="00912110"/>
    <w:rsid w:val="00912944"/>
    <w:rsid w:val="0091363A"/>
    <w:rsid w:val="009139D9"/>
    <w:rsid w:val="0091445A"/>
    <w:rsid w:val="00914AD8"/>
    <w:rsid w:val="00915240"/>
    <w:rsid w:val="00915E3A"/>
    <w:rsid w:val="00915EAD"/>
    <w:rsid w:val="00916079"/>
    <w:rsid w:val="00916B24"/>
    <w:rsid w:val="0091703B"/>
    <w:rsid w:val="00917641"/>
    <w:rsid w:val="0091778E"/>
    <w:rsid w:val="00917CE9"/>
    <w:rsid w:val="00920BF2"/>
    <w:rsid w:val="00922010"/>
    <w:rsid w:val="009220A1"/>
    <w:rsid w:val="009224F6"/>
    <w:rsid w:val="00922A69"/>
    <w:rsid w:val="00923BBF"/>
    <w:rsid w:val="009261CD"/>
    <w:rsid w:val="00926847"/>
    <w:rsid w:val="009270E9"/>
    <w:rsid w:val="00927F40"/>
    <w:rsid w:val="00930526"/>
    <w:rsid w:val="0093103F"/>
    <w:rsid w:val="00931BD9"/>
    <w:rsid w:val="00934DF8"/>
    <w:rsid w:val="00935236"/>
    <w:rsid w:val="00935316"/>
    <w:rsid w:val="0093601A"/>
    <w:rsid w:val="00936851"/>
    <w:rsid w:val="009368F3"/>
    <w:rsid w:val="00936BBF"/>
    <w:rsid w:val="00937C25"/>
    <w:rsid w:val="00937E72"/>
    <w:rsid w:val="009414FD"/>
    <w:rsid w:val="00941636"/>
    <w:rsid w:val="0094346C"/>
    <w:rsid w:val="00943742"/>
    <w:rsid w:val="00945C05"/>
    <w:rsid w:val="00946945"/>
    <w:rsid w:val="00947179"/>
    <w:rsid w:val="00947588"/>
    <w:rsid w:val="00947713"/>
    <w:rsid w:val="00947B01"/>
    <w:rsid w:val="00947D91"/>
    <w:rsid w:val="009506F9"/>
    <w:rsid w:val="00950DE7"/>
    <w:rsid w:val="00950FBF"/>
    <w:rsid w:val="0095126E"/>
    <w:rsid w:val="0095150A"/>
    <w:rsid w:val="00952D8F"/>
    <w:rsid w:val="00953920"/>
    <w:rsid w:val="00953D47"/>
    <w:rsid w:val="00956711"/>
    <w:rsid w:val="0095681E"/>
    <w:rsid w:val="009572D4"/>
    <w:rsid w:val="00957337"/>
    <w:rsid w:val="009579C0"/>
    <w:rsid w:val="009608B7"/>
    <w:rsid w:val="00960D0F"/>
    <w:rsid w:val="00960FEA"/>
    <w:rsid w:val="00961921"/>
    <w:rsid w:val="00961B8D"/>
    <w:rsid w:val="00961DF7"/>
    <w:rsid w:val="00963382"/>
    <w:rsid w:val="0096430A"/>
    <w:rsid w:val="00964C30"/>
    <w:rsid w:val="0096554B"/>
    <w:rsid w:val="0096584A"/>
    <w:rsid w:val="00965C53"/>
    <w:rsid w:val="00965E3E"/>
    <w:rsid w:val="009669E6"/>
    <w:rsid w:val="00967A33"/>
    <w:rsid w:val="00970523"/>
    <w:rsid w:val="00971F08"/>
    <w:rsid w:val="009739E6"/>
    <w:rsid w:val="00973DF9"/>
    <w:rsid w:val="0097586C"/>
    <w:rsid w:val="00975997"/>
    <w:rsid w:val="0097603D"/>
    <w:rsid w:val="009768D2"/>
    <w:rsid w:val="00976949"/>
    <w:rsid w:val="009776F3"/>
    <w:rsid w:val="00980477"/>
    <w:rsid w:val="00981EA7"/>
    <w:rsid w:val="009828D2"/>
    <w:rsid w:val="00982C38"/>
    <w:rsid w:val="00984217"/>
    <w:rsid w:val="00985253"/>
    <w:rsid w:val="009853B3"/>
    <w:rsid w:val="00985CBE"/>
    <w:rsid w:val="00987FD9"/>
    <w:rsid w:val="00990630"/>
    <w:rsid w:val="00991761"/>
    <w:rsid w:val="009919D4"/>
    <w:rsid w:val="00992B90"/>
    <w:rsid w:val="00992FE6"/>
    <w:rsid w:val="00993727"/>
    <w:rsid w:val="00993E82"/>
    <w:rsid w:val="00994DCA"/>
    <w:rsid w:val="00995585"/>
    <w:rsid w:val="009960EC"/>
    <w:rsid w:val="00996D46"/>
    <w:rsid w:val="00996DB4"/>
    <w:rsid w:val="009970DD"/>
    <w:rsid w:val="00997687"/>
    <w:rsid w:val="009A0FBA"/>
    <w:rsid w:val="009A1601"/>
    <w:rsid w:val="009A1914"/>
    <w:rsid w:val="009A2F0A"/>
    <w:rsid w:val="009A330C"/>
    <w:rsid w:val="009A405A"/>
    <w:rsid w:val="009A41F8"/>
    <w:rsid w:val="009A462D"/>
    <w:rsid w:val="009A48EA"/>
    <w:rsid w:val="009A4960"/>
    <w:rsid w:val="009A5CBA"/>
    <w:rsid w:val="009A6281"/>
    <w:rsid w:val="009A6D01"/>
    <w:rsid w:val="009A72AE"/>
    <w:rsid w:val="009B0524"/>
    <w:rsid w:val="009B0861"/>
    <w:rsid w:val="009B0B1B"/>
    <w:rsid w:val="009B1224"/>
    <w:rsid w:val="009B1385"/>
    <w:rsid w:val="009B1F30"/>
    <w:rsid w:val="009B3AC2"/>
    <w:rsid w:val="009B4DF4"/>
    <w:rsid w:val="009B564E"/>
    <w:rsid w:val="009B6850"/>
    <w:rsid w:val="009B7BDE"/>
    <w:rsid w:val="009B7CE6"/>
    <w:rsid w:val="009B7E87"/>
    <w:rsid w:val="009C1E07"/>
    <w:rsid w:val="009C2485"/>
    <w:rsid w:val="009C25D6"/>
    <w:rsid w:val="009C290F"/>
    <w:rsid w:val="009C2A60"/>
    <w:rsid w:val="009C3487"/>
    <w:rsid w:val="009C35BB"/>
    <w:rsid w:val="009C403E"/>
    <w:rsid w:val="009C4EDC"/>
    <w:rsid w:val="009C527F"/>
    <w:rsid w:val="009C6467"/>
    <w:rsid w:val="009C748E"/>
    <w:rsid w:val="009D0B72"/>
    <w:rsid w:val="009D1618"/>
    <w:rsid w:val="009D1C6B"/>
    <w:rsid w:val="009D28C4"/>
    <w:rsid w:val="009D3345"/>
    <w:rsid w:val="009D352C"/>
    <w:rsid w:val="009D43AC"/>
    <w:rsid w:val="009D47F1"/>
    <w:rsid w:val="009D4FF0"/>
    <w:rsid w:val="009D52D6"/>
    <w:rsid w:val="009D5922"/>
    <w:rsid w:val="009D5983"/>
    <w:rsid w:val="009D5E2A"/>
    <w:rsid w:val="009D6FB0"/>
    <w:rsid w:val="009D703C"/>
    <w:rsid w:val="009D718F"/>
    <w:rsid w:val="009D7E8C"/>
    <w:rsid w:val="009E068F"/>
    <w:rsid w:val="009E148B"/>
    <w:rsid w:val="009E14E0"/>
    <w:rsid w:val="009E3025"/>
    <w:rsid w:val="009E35DB"/>
    <w:rsid w:val="009E3646"/>
    <w:rsid w:val="009E430D"/>
    <w:rsid w:val="009E47A3"/>
    <w:rsid w:val="009E4E2F"/>
    <w:rsid w:val="009E502E"/>
    <w:rsid w:val="009E537B"/>
    <w:rsid w:val="009E5902"/>
    <w:rsid w:val="009E6AA6"/>
    <w:rsid w:val="009E6AC2"/>
    <w:rsid w:val="009E6F0C"/>
    <w:rsid w:val="009F08F3"/>
    <w:rsid w:val="009F0D5B"/>
    <w:rsid w:val="009F1DBC"/>
    <w:rsid w:val="009F1E6D"/>
    <w:rsid w:val="009F1ECE"/>
    <w:rsid w:val="009F3333"/>
    <w:rsid w:val="009F344F"/>
    <w:rsid w:val="009F3D98"/>
    <w:rsid w:val="009F4360"/>
    <w:rsid w:val="009F47FE"/>
    <w:rsid w:val="009F645A"/>
    <w:rsid w:val="00A00F1F"/>
    <w:rsid w:val="00A01F20"/>
    <w:rsid w:val="00A03AD7"/>
    <w:rsid w:val="00A048A8"/>
    <w:rsid w:val="00A04F49"/>
    <w:rsid w:val="00A0651F"/>
    <w:rsid w:val="00A0683A"/>
    <w:rsid w:val="00A06BC7"/>
    <w:rsid w:val="00A07855"/>
    <w:rsid w:val="00A07BB2"/>
    <w:rsid w:val="00A10551"/>
    <w:rsid w:val="00A10CA2"/>
    <w:rsid w:val="00A11AB7"/>
    <w:rsid w:val="00A12328"/>
    <w:rsid w:val="00A1305E"/>
    <w:rsid w:val="00A13991"/>
    <w:rsid w:val="00A13E54"/>
    <w:rsid w:val="00A155CC"/>
    <w:rsid w:val="00A1595C"/>
    <w:rsid w:val="00A16EB2"/>
    <w:rsid w:val="00A17BE1"/>
    <w:rsid w:val="00A17F63"/>
    <w:rsid w:val="00A2193B"/>
    <w:rsid w:val="00A22C88"/>
    <w:rsid w:val="00A2351A"/>
    <w:rsid w:val="00A23945"/>
    <w:rsid w:val="00A24365"/>
    <w:rsid w:val="00A249D6"/>
    <w:rsid w:val="00A25BF5"/>
    <w:rsid w:val="00A264A9"/>
    <w:rsid w:val="00A27291"/>
    <w:rsid w:val="00A27785"/>
    <w:rsid w:val="00A30187"/>
    <w:rsid w:val="00A31044"/>
    <w:rsid w:val="00A31E6A"/>
    <w:rsid w:val="00A320BF"/>
    <w:rsid w:val="00A33353"/>
    <w:rsid w:val="00A3448A"/>
    <w:rsid w:val="00A35099"/>
    <w:rsid w:val="00A36031"/>
    <w:rsid w:val="00A36297"/>
    <w:rsid w:val="00A36B2A"/>
    <w:rsid w:val="00A3750E"/>
    <w:rsid w:val="00A3751A"/>
    <w:rsid w:val="00A37BAF"/>
    <w:rsid w:val="00A37BDF"/>
    <w:rsid w:val="00A41699"/>
    <w:rsid w:val="00A4191F"/>
    <w:rsid w:val="00A41E2B"/>
    <w:rsid w:val="00A42503"/>
    <w:rsid w:val="00A42BA2"/>
    <w:rsid w:val="00A43582"/>
    <w:rsid w:val="00A44522"/>
    <w:rsid w:val="00A44B11"/>
    <w:rsid w:val="00A45B74"/>
    <w:rsid w:val="00A4622B"/>
    <w:rsid w:val="00A4647F"/>
    <w:rsid w:val="00A46626"/>
    <w:rsid w:val="00A47038"/>
    <w:rsid w:val="00A50F35"/>
    <w:rsid w:val="00A50FA9"/>
    <w:rsid w:val="00A51116"/>
    <w:rsid w:val="00A521B4"/>
    <w:rsid w:val="00A52E1D"/>
    <w:rsid w:val="00A53C56"/>
    <w:rsid w:val="00A55451"/>
    <w:rsid w:val="00A554C3"/>
    <w:rsid w:val="00A55F73"/>
    <w:rsid w:val="00A56D3F"/>
    <w:rsid w:val="00A571A6"/>
    <w:rsid w:val="00A60917"/>
    <w:rsid w:val="00A61499"/>
    <w:rsid w:val="00A622C6"/>
    <w:rsid w:val="00A62A77"/>
    <w:rsid w:val="00A63468"/>
    <w:rsid w:val="00A63483"/>
    <w:rsid w:val="00A6368C"/>
    <w:rsid w:val="00A63D17"/>
    <w:rsid w:val="00A64054"/>
    <w:rsid w:val="00A6446C"/>
    <w:rsid w:val="00A654D6"/>
    <w:rsid w:val="00A657D7"/>
    <w:rsid w:val="00A65935"/>
    <w:rsid w:val="00A65E5A"/>
    <w:rsid w:val="00A660AC"/>
    <w:rsid w:val="00A670A6"/>
    <w:rsid w:val="00A670C9"/>
    <w:rsid w:val="00A67C31"/>
    <w:rsid w:val="00A67E6C"/>
    <w:rsid w:val="00A71B99"/>
    <w:rsid w:val="00A71D6C"/>
    <w:rsid w:val="00A72C8A"/>
    <w:rsid w:val="00A739D0"/>
    <w:rsid w:val="00A74E64"/>
    <w:rsid w:val="00A758C5"/>
    <w:rsid w:val="00A761D4"/>
    <w:rsid w:val="00A76696"/>
    <w:rsid w:val="00A77DB9"/>
    <w:rsid w:val="00A77EC4"/>
    <w:rsid w:val="00A80BAB"/>
    <w:rsid w:val="00A80D6E"/>
    <w:rsid w:val="00A80F11"/>
    <w:rsid w:val="00A83932"/>
    <w:rsid w:val="00A8470F"/>
    <w:rsid w:val="00A8496E"/>
    <w:rsid w:val="00A85235"/>
    <w:rsid w:val="00A863CA"/>
    <w:rsid w:val="00A86F96"/>
    <w:rsid w:val="00A9043E"/>
    <w:rsid w:val="00A92879"/>
    <w:rsid w:val="00A92CB9"/>
    <w:rsid w:val="00A93F17"/>
    <w:rsid w:val="00A9442A"/>
    <w:rsid w:val="00A946BC"/>
    <w:rsid w:val="00A94DE1"/>
    <w:rsid w:val="00A96CC6"/>
    <w:rsid w:val="00AA008E"/>
    <w:rsid w:val="00AA016F"/>
    <w:rsid w:val="00AA0A1F"/>
    <w:rsid w:val="00AA18D0"/>
    <w:rsid w:val="00AA1C67"/>
    <w:rsid w:val="00AA1ED6"/>
    <w:rsid w:val="00AA25C8"/>
    <w:rsid w:val="00AA2677"/>
    <w:rsid w:val="00AA51D6"/>
    <w:rsid w:val="00AA56AA"/>
    <w:rsid w:val="00AA61EA"/>
    <w:rsid w:val="00AA6628"/>
    <w:rsid w:val="00AB04F2"/>
    <w:rsid w:val="00AB0BC8"/>
    <w:rsid w:val="00AB11CA"/>
    <w:rsid w:val="00AB14D9"/>
    <w:rsid w:val="00AB1D2C"/>
    <w:rsid w:val="00AB1EAE"/>
    <w:rsid w:val="00AB2220"/>
    <w:rsid w:val="00AB232B"/>
    <w:rsid w:val="00AB2AA4"/>
    <w:rsid w:val="00AB2CFC"/>
    <w:rsid w:val="00AB2F91"/>
    <w:rsid w:val="00AB3A11"/>
    <w:rsid w:val="00AB3BAC"/>
    <w:rsid w:val="00AB4AB8"/>
    <w:rsid w:val="00AB5ACD"/>
    <w:rsid w:val="00AB613A"/>
    <w:rsid w:val="00AB655E"/>
    <w:rsid w:val="00AB7AE6"/>
    <w:rsid w:val="00AC007F"/>
    <w:rsid w:val="00AC0123"/>
    <w:rsid w:val="00AC019E"/>
    <w:rsid w:val="00AC0E47"/>
    <w:rsid w:val="00AC2DDF"/>
    <w:rsid w:val="00AC2ECD"/>
    <w:rsid w:val="00AC3119"/>
    <w:rsid w:val="00AC3D18"/>
    <w:rsid w:val="00AC3E0C"/>
    <w:rsid w:val="00AC473D"/>
    <w:rsid w:val="00AC49FB"/>
    <w:rsid w:val="00AC4E17"/>
    <w:rsid w:val="00AC4E4F"/>
    <w:rsid w:val="00AC4EAA"/>
    <w:rsid w:val="00AC5984"/>
    <w:rsid w:val="00AC5A10"/>
    <w:rsid w:val="00AC5B8E"/>
    <w:rsid w:val="00AC6E95"/>
    <w:rsid w:val="00AC765E"/>
    <w:rsid w:val="00AC7CC7"/>
    <w:rsid w:val="00AD0348"/>
    <w:rsid w:val="00AD0896"/>
    <w:rsid w:val="00AD0AA3"/>
    <w:rsid w:val="00AD1B8B"/>
    <w:rsid w:val="00AD3168"/>
    <w:rsid w:val="00AD3F94"/>
    <w:rsid w:val="00AD4A5A"/>
    <w:rsid w:val="00AD4E27"/>
    <w:rsid w:val="00AD7F95"/>
    <w:rsid w:val="00AE0905"/>
    <w:rsid w:val="00AE27AC"/>
    <w:rsid w:val="00AE2B13"/>
    <w:rsid w:val="00AE40E0"/>
    <w:rsid w:val="00AE46C9"/>
    <w:rsid w:val="00AE4DBA"/>
    <w:rsid w:val="00AE4E30"/>
    <w:rsid w:val="00AE4F07"/>
    <w:rsid w:val="00AE50D1"/>
    <w:rsid w:val="00AE62E2"/>
    <w:rsid w:val="00AE6D88"/>
    <w:rsid w:val="00AE7446"/>
    <w:rsid w:val="00AF1C5D"/>
    <w:rsid w:val="00AF2026"/>
    <w:rsid w:val="00AF42D7"/>
    <w:rsid w:val="00AF43AB"/>
    <w:rsid w:val="00AF46B0"/>
    <w:rsid w:val="00AF4D41"/>
    <w:rsid w:val="00AF4D6B"/>
    <w:rsid w:val="00AF53B6"/>
    <w:rsid w:val="00B006FE"/>
    <w:rsid w:val="00B007CB"/>
    <w:rsid w:val="00B010BF"/>
    <w:rsid w:val="00B010D7"/>
    <w:rsid w:val="00B0175E"/>
    <w:rsid w:val="00B02AA9"/>
    <w:rsid w:val="00B02D9E"/>
    <w:rsid w:val="00B02FA3"/>
    <w:rsid w:val="00B03C4C"/>
    <w:rsid w:val="00B05084"/>
    <w:rsid w:val="00B05629"/>
    <w:rsid w:val="00B05BA5"/>
    <w:rsid w:val="00B0611B"/>
    <w:rsid w:val="00B07A3A"/>
    <w:rsid w:val="00B11310"/>
    <w:rsid w:val="00B122CA"/>
    <w:rsid w:val="00B13582"/>
    <w:rsid w:val="00B136CA"/>
    <w:rsid w:val="00B14627"/>
    <w:rsid w:val="00B14965"/>
    <w:rsid w:val="00B14D6D"/>
    <w:rsid w:val="00B150A4"/>
    <w:rsid w:val="00B157F9"/>
    <w:rsid w:val="00B167F1"/>
    <w:rsid w:val="00B16894"/>
    <w:rsid w:val="00B20256"/>
    <w:rsid w:val="00B20A2C"/>
    <w:rsid w:val="00B20D09"/>
    <w:rsid w:val="00B211B2"/>
    <w:rsid w:val="00B21BE8"/>
    <w:rsid w:val="00B22795"/>
    <w:rsid w:val="00B22D75"/>
    <w:rsid w:val="00B247EA"/>
    <w:rsid w:val="00B24D0A"/>
    <w:rsid w:val="00B25488"/>
    <w:rsid w:val="00B25603"/>
    <w:rsid w:val="00B25AB6"/>
    <w:rsid w:val="00B25D69"/>
    <w:rsid w:val="00B2763F"/>
    <w:rsid w:val="00B27AAC"/>
    <w:rsid w:val="00B30929"/>
    <w:rsid w:val="00B31239"/>
    <w:rsid w:val="00B33C5A"/>
    <w:rsid w:val="00B34AC3"/>
    <w:rsid w:val="00B35AA8"/>
    <w:rsid w:val="00B35F9A"/>
    <w:rsid w:val="00B37067"/>
    <w:rsid w:val="00B372AA"/>
    <w:rsid w:val="00B40445"/>
    <w:rsid w:val="00B40ECB"/>
    <w:rsid w:val="00B41888"/>
    <w:rsid w:val="00B41DF0"/>
    <w:rsid w:val="00B4272C"/>
    <w:rsid w:val="00B42BDB"/>
    <w:rsid w:val="00B45A52"/>
    <w:rsid w:val="00B45CE5"/>
    <w:rsid w:val="00B46175"/>
    <w:rsid w:val="00B474B4"/>
    <w:rsid w:val="00B47808"/>
    <w:rsid w:val="00B5008D"/>
    <w:rsid w:val="00B50D9C"/>
    <w:rsid w:val="00B51BFF"/>
    <w:rsid w:val="00B51F19"/>
    <w:rsid w:val="00B529E1"/>
    <w:rsid w:val="00B548DA"/>
    <w:rsid w:val="00B553D4"/>
    <w:rsid w:val="00B55889"/>
    <w:rsid w:val="00B5748F"/>
    <w:rsid w:val="00B6145A"/>
    <w:rsid w:val="00B61615"/>
    <w:rsid w:val="00B61BB1"/>
    <w:rsid w:val="00B61E56"/>
    <w:rsid w:val="00B62AAA"/>
    <w:rsid w:val="00B6330F"/>
    <w:rsid w:val="00B64127"/>
    <w:rsid w:val="00B64D50"/>
    <w:rsid w:val="00B650C1"/>
    <w:rsid w:val="00B65613"/>
    <w:rsid w:val="00B6576A"/>
    <w:rsid w:val="00B664C7"/>
    <w:rsid w:val="00B666BC"/>
    <w:rsid w:val="00B669AD"/>
    <w:rsid w:val="00B67691"/>
    <w:rsid w:val="00B67E82"/>
    <w:rsid w:val="00B706A1"/>
    <w:rsid w:val="00B70B8D"/>
    <w:rsid w:val="00B70D90"/>
    <w:rsid w:val="00B720F0"/>
    <w:rsid w:val="00B72804"/>
    <w:rsid w:val="00B737FF"/>
    <w:rsid w:val="00B739F6"/>
    <w:rsid w:val="00B74B6C"/>
    <w:rsid w:val="00B7591A"/>
    <w:rsid w:val="00B76444"/>
    <w:rsid w:val="00B80456"/>
    <w:rsid w:val="00B805EE"/>
    <w:rsid w:val="00B80A15"/>
    <w:rsid w:val="00B80EA5"/>
    <w:rsid w:val="00B812AF"/>
    <w:rsid w:val="00B81A6C"/>
    <w:rsid w:val="00B81FDF"/>
    <w:rsid w:val="00B837ED"/>
    <w:rsid w:val="00B83F7C"/>
    <w:rsid w:val="00B85DE5"/>
    <w:rsid w:val="00B87CB5"/>
    <w:rsid w:val="00B90158"/>
    <w:rsid w:val="00B90580"/>
    <w:rsid w:val="00B907EA"/>
    <w:rsid w:val="00B90E26"/>
    <w:rsid w:val="00B90F73"/>
    <w:rsid w:val="00B91331"/>
    <w:rsid w:val="00B91CBB"/>
    <w:rsid w:val="00B93B59"/>
    <w:rsid w:val="00B9406A"/>
    <w:rsid w:val="00B94FE7"/>
    <w:rsid w:val="00B959EC"/>
    <w:rsid w:val="00B95D5A"/>
    <w:rsid w:val="00B95F7B"/>
    <w:rsid w:val="00B97D9D"/>
    <w:rsid w:val="00BA04E2"/>
    <w:rsid w:val="00BA06E9"/>
    <w:rsid w:val="00BA153D"/>
    <w:rsid w:val="00BA1FE5"/>
    <w:rsid w:val="00BA2280"/>
    <w:rsid w:val="00BA2A08"/>
    <w:rsid w:val="00BA45B5"/>
    <w:rsid w:val="00BA46F3"/>
    <w:rsid w:val="00BA4775"/>
    <w:rsid w:val="00BA5641"/>
    <w:rsid w:val="00BA56D2"/>
    <w:rsid w:val="00BA5721"/>
    <w:rsid w:val="00BA5CB7"/>
    <w:rsid w:val="00BA7440"/>
    <w:rsid w:val="00BA76E0"/>
    <w:rsid w:val="00BA77CE"/>
    <w:rsid w:val="00BA7E6B"/>
    <w:rsid w:val="00BA7F14"/>
    <w:rsid w:val="00BB1423"/>
    <w:rsid w:val="00BB23F2"/>
    <w:rsid w:val="00BB2A25"/>
    <w:rsid w:val="00BB346D"/>
    <w:rsid w:val="00BB40A1"/>
    <w:rsid w:val="00BB51BB"/>
    <w:rsid w:val="00BB51E9"/>
    <w:rsid w:val="00BB6747"/>
    <w:rsid w:val="00BB79B5"/>
    <w:rsid w:val="00BB7EB0"/>
    <w:rsid w:val="00BB7EC1"/>
    <w:rsid w:val="00BC0C69"/>
    <w:rsid w:val="00BC0E6A"/>
    <w:rsid w:val="00BC0FDC"/>
    <w:rsid w:val="00BC1DEE"/>
    <w:rsid w:val="00BC29AB"/>
    <w:rsid w:val="00BC3053"/>
    <w:rsid w:val="00BC4AD5"/>
    <w:rsid w:val="00BC4D2E"/>
    <w:rsid w:val="00BC6412"/>
    <w:rsid w:val="00BC6430"/>
    <w:rsid w:val="00BC6FA3"/>
    <w:rsid w:val="00BC78F0"/>
    <w:rsid w:val="00BC7D4A"/>
    <w:rsid w:val="00BD0FBB"/>
    <w:rsid w:val="00BD1217"/>
    <w:rsid w:val="00BD122B"/>
    <w:rsid w:val="00BD1F9A"/>
    <w:rsid w:val="00BD2258"/>
    <w:rsid w:val="00BD48AC"/>
    <w:rsid w:val="00BD5F1A"/>
    <w:rsid w:val="00BD7D0F"/>
    <w:rsid w:val="00BD7FDB"/>
    <w:rsid w:val="00BE00AA"/>
    <w:rsid w:val="00BE05C8"/>
    <w:rsid w:val="00BE05D9"/>
    <w:rsid w:val="00BE0792"/>
    <w:rsid w:val="00BE0C12"/>
    <w:rsid w:val="00BE1234"/>
    <w:rsid w:val="00BE1518"/>
    <w:rsid w:val="00BE2988"/>
    <w:rsid w:val="00BE2FA6"/>
    <w:rsid w:val="00BE32F5"/>
    <w:rsid w:val="00BE333F"/>
    <w:rsid w:val="00BE4ACA"/>
    <w:rsid w:val="00BE6AE2"/>
    <w:rsid w:val="00BE7406"/>
    <w:rsid w:val="00BE7603"/>
    <w:rsid w:val="00BE7FC2"/>
    <w:rsid w:val="00BF0468"/>
    <w:rsid w:val="00BF058E"/>
    <w:rsid w:val="00BF16CF"/>
    <w:rsid w:val="00BF20C7"/>
    <w:rsid w:val="00BF3279"/>
    <w:rsid w:val="00BF5C11"/>
    <w:rsid w:val="00BF74C7"/>
    <w:rsid w:val="00BF7A0D"/>
    <w:rsid w:val="00BF7CCA"/>
    <w:rsid w:val="00C000CC"/>
    <w:rsid w:val="00C00CEC"/>
    <w:rsid w:val="00C00DEB"/>
    <w:rsid w:val="00C015F1"/>
    <w:rsid w:val="00C0173E"/>
    <w:rsid w:val="00C01973"/>
    <w:rsid w:val="00C01F33"/>
    <w:rsid w:val="00C02CC6"/>
    <w:rsid w:val="00C03D0E"/>
    <w:rsid w:val="00C040F7"/>
    <w:rsid w:val="00C041B0"/>
    <w:rsid w:val="00C044AB"/>
    <w:rsid w:val="00C04E21"/>
    <w:rsid w:val="00C055AB"/>
    <w:rsid w:val="00C05706"/>
    <w:rsid w:val="00C06979"/>
    <w:rsid w:val="00C07377"/>
    <w:rsid w:val="00C075C8"/>
    <w:rsid w:val="00C10478"/>
    <w:rsid w:val="00C10B5A"/>
    <w:rsid w:val="00C11355"/>
    <w:rsid w:val="00C116CE"/>
    <w:rsid w:val="00C117E4"/>
    <w:rsid w:val="00C1189B"/>
    <w:rsid w:val="00C12107"/>
    <w:rsid w:val="00C12C66"/>
    <w:rsid w:val="00C133A3"/>
    <w:rsid w:val="00C145B6"/>
    <w:rsid w:val="00C14D4B"/>
    <w:rsid w:val="00C14DC8"/>
    <w:rsid w:val="00C15422"/>
    <w:rsid w:val="00C154BB"/>
    <w:rsid w:val="00C16137"/>
    <w:rsid w:val="00C17DB4"/>
    <w:rsid w:val="00C17FCE"/>
    <w:rsid w:val="00C20190"/>
    <w:rsid w:val="00C2088D"/>
    <w:rsid w:val="00C223E6"/>
    <w:rsid w:val="00C22C70"/>
    <w:rsid w:val="00C230B7"/>
    <w:rsid w:val="00C23175"/>
    <w:rsid w:val="00C24DFB"/>
    <w:rsid w:val="00C260E6"/>
    <w:rsid w:val="00C2690F"/>
    <w:rsid w:val="00C26FAA"/>
    <w:rsid w:val="00C279B5"/>
    <w:rsid w:val="00C27C45"/>
    <w:rsid w:val="00C27E0C"/>
    <w:rsid w:val="00C30437"/>
    <w:rsid w:val="00C30F69"/>
    <w:rsid w:val="00C322CF"/>
    <w:rsid w:val="00C3241C"/>
    <w:rsid w:val="00C34167"/>
    <w:rsid w:val="00C3719D"/>
    <w:rsid w:val="00C372D0"/>
    <w:rsid w:val="00C40753"/>
    <w:rsid w:val="00C41A9D"/>
    <w:rsid w:val="00C424D0"/>
    <w:rsid w:val="00C426F4"/>
    <w:rsid w:val="00C4360E"/>
    <w:rsid w:val="00C43872"/>
    <w:rsid w:val="00C448B0"/>
    <w:rsid w:val="00C44AE7"/>
    <w:rsid w:val="00C4565B"/>
    <w:rsid w:val="00C45B3B"/>
    <w:rsid w:val="00C46FFC"/>
    <w:rsid w:val="00C47592"/>
    <w:rsid w:val="00C4791A"/>
    <w:rsid w:val="00C47A84"/>
    <w:rsid w:val="00C5072F"/>
    <w:rsid w:val="00C536F2"/>
    <w:rsid w:val="00C53CA2"/>
    <w:rsid w:val="00C54037"/>
    <w:rsid w:val="00C54995"/>
    <w:rsid w:val="00C54D41"/>
    <w:rsid w:val="00C5639D"/>
    <w:rsid w:val="00C56496"/>
    <w:rsid w:val="00C565A9"/>
    <w:rsid w:val="00C57B5D"/>
    <w:rsid w:val="00C600A7"/>
    <w:rsid w:val="00C6012B"/>
    <w:rsid w:val="00C601D0"/>
    <w:rsid w:val="00C60783"/>
    <w:rsid w:val="00C609B9"/>
    <w:rsid w:val="00C60E2B"/>
    <w:rsid w:val="00C60FF3"/>
    <w:rsid w:val="00C61546"/>
    <w:rsid w:val="00C61A77"/>
    <w:rsid w:val="00C644F7"/>
    <w:rsid w:val="00C64672"/>
    <w:rsid w:val="00C65314"/>
    <w:rsid w:val="00C66039"/>
    <w:rsid w:val="00C70697"/>
    <w:rsid w:val="00C717F4"/>
    <w:rsid w:val="00C72751"/>
    <w:rsid w:val="00C72EF4"/>
    <w:rsid w:val="00C73B76"/>
    <w:rsid w:val="00C75608"/>
    <w:rsid w:val="00C75D2F"/>
    <w:rsid w:val="00C7609D"/>
    <w:rsid w:val="00C767BE"/>
    <w:rsid w:val="00C76963"/>
    <w:rsid w:val="00C76E3C"/>
    <w:rsid w:val="00C76E76"/>
    <w:rsid w:val="00C76F98"/>
    <w:rsid w:val="00C8017B"/>
    <w:rsid w:val="00C806D8"/>
    <w:rsid w:val="00C81568"/>
    <w:rsid w:val="00C81B6B"/>
    <w:rsid w:val="00C82B92"/>
    <w:rsid w:val="00C841F1"/>
    <w:rsid w:val="00C856D5"/>
    <w:rsid w:val="00C85F5E"/>
    <w:rsid w:val="00C87CDD"/>
    <w:rsid w:val="00C9027A"/>
    <w:rsid w:val="00C90598"/>
    <w:rsid w:val="00C905B8"/>
    <w:rsid w:val="00C9068E"/>
    <w:rsid w:val="00C909DB"/>
    <w:rsid w:val="00C90DA9"/>
    <w:rsid w:val="00C91256"/>
    <w:rsid w:val="00C92961"/>
    <w:rsid w:val="00C92D2C"/>
    <w:rsid w:val="00C9363F"/>
    <w:rsid w:val="00C93C4B"/>
    <w:rsid w:val="00C944AB"/>
    <w:rsid w:val="00C94C14"/>
    <w:rsid w:val="00C94DA2"/>
    <w:rsid w:val="00C95B40"/>
    <w:rsid w:val="00C968EC"/>
    <w:rsid w:val="00C96C2B"/>
    <w:rsid w:val="00C96DF2"/>
    <w:rsid w:val="00C96EFE"/>
    <w:rsid w:val="00C97128"/>
    <w:rsid w:val="00C9793A"/>
    <w:rsid w:val="00C97B29"/>
    <w:rsid w:val="00CA00AB"/>
    <w:rsid w:val="00CA0805"/>
    <w:rsid w:val="00CA0A10"/>
    <w:rsid w:val="00CA1ED8"/>
    <w:rsid w:val="00CA2C82"/>
    <w:rsid w:val="00CA321C"/>
    <w:rsid w:val="00CA6957"/>
    <w:rsid w:val="00CA6CFD"/>
    <w:rsid w:val="00CA7F93"/>
    <w:rsid w:val="00CB0DE9"/>
    <w:rsid w:val="00CB1D43"/>
    <w:rsid w:val="00CB1DB5"/>
    <w:rsid w:val="00CB1F63"/>
    <w:rsid w:val="00CB3551"/>
    <w:rsid w:val="00CB4695"/>
    <w:rsid w:val="00CB585C"/>
    <w:rsid w:val="00CB59A0"/>
    <w:rsid w:val="00CB5DB2"/>
    <w:rsid w:val="00CB7170"/>
    <w:rsid w:val="00CB7D73"/>
    <w:rsid w:val="00CC01D0"/>
    <w:rsid w:val="00CC040E"/>
    <w:rsid w:val="00CC0812"/>
    <w:rsid w:val="00CC0818"/>
    <w:rsid w:val="00CC1083"/>
    <w:rsid w:val="00CC111F"/>
    <w:rsid w:val="00CC2011"/>
    <w:rsid w:val="00CC32C8"/>
    <w:rsid w:val="00CC3879"/>
    <w:rsid w:val="00CC3EA0"/>
    <w:rsid w:val="00CC44DC"/>
    <w:rsid w:val="00CC4FF9"/>
    <w:rsid w:val="00CC594A"/>
    <w:rsid w:val="00CC61A7"/>
    <w:rsid w:val="00CC6424"/>
    <w:rsid w:val="00CC749A"/>
    <w:rsid w:val="00CC7B45"/>
    <w:rsid w:val="00CD0835"/>
    <w:rsid w:val="00CD1188"/>
    <w:rsid w:val="00CD13FF"/>
    <w:rsid w:val="00CD1CB4"/>
    <w:rsid w:val="00CD1D2E"/>
    <w:rsid w:val="00CD1FF3"/>
    <w:rsid w:val="00CD294E"/>
    <w:rsid w:val="00CD2E57"/>
    <w:rsid w:val="00CD2ED1"/>
    <w:rsid w:val="00CD337B"/>
    <w:rsid w:val="00CD3969"/>
    <w:rsid w:val="00CD3F6B"/>
    <w:rsid w:val="00CD5A07"/>
    <w:rsid w:val="00CD5ACD"/>
    <w:rsid w:val="00CD5C14"/>
    <w:rsid w:val="00CD640E"/>
    <w:rsid w:val="00CE0424"/>
    <w:rsid w:val="00CE077B"/>
    <w:rsid w:val="00CE0B69"/>
    <w:rsid w:val="00CE2300"/>
    <w:rsid w:val="00CE3DF2"/>
    <w:rsid w:val="00CE4B54"/>
    <w:rsid w:val="00CE5905"/>
    <w:rsid w:val="00CE6C99"/>
    <w:rsid w:val="00CE70C0"/>
    <w:rsid w:val="00CE7176"/>
    <w:rsid w:val="00CE7561"/>
    <w:rsid w:val="00CF12CF"/>
    <w:rsid w:val="00CF12E2"/>
    <w:rsid w:val="00CF1354"/>
    <w:rsid w:val="00CF227E"/>
    <w:rsid w:val="00CF3332"/>
    <w:rsid w:val="00CF3B1F"/>
    <w:rsid w:val="00CF3BF6"/>
    <w:rsid w:val="00CF46BC"/>
    <w:rsid w:val="00CF4E77"/>
    <w:rsid w:val="00CF50AB"/>
    <w:rsid w:val="00CF5109"/>
    <w:rsid w:val="00CF625B"/>
    <w:rsid w:val="00CF64AF"/>
    <w:rsid w:val="00CF687E"/>
    <w:rsid w:val="00CF7216"/>
    <w:rsid w:val="00CF7673"/>
    <w:rsid w:val="00CF7CA2"/>
    <w:rsid w:val="00D00339"/>
    <w:rsid w:val="00D00402"/>
    <w:rsid w:val="00D0081F"/>
    <w:rsid w:val="00D015F9"/>
    <w:rsid w:val="00D0194F"/>
    <w:rsid w:val="00D01E67"/>
    <w:rsid w:val="00D0252F"/>
    <w:rsid w:val="00D0291E"/>
    <w:rsid w:val="00D0339E"/>
    <w:rsid w:val="00D0349B"/>
    <w:rsid w:val="00D03CBF"/>
    <w:rsid w:val="00D04434"/>
    <w:rsid w:val="00D1001F"/>
    <w:rsid w:val="00D100F2"/>
    <w:rsid w:val="00D10249"/>
    <w:rsid w:val="00D108F1"/>
    <w:rsid w:val="00D115C3"/>
    <w:rsid w:val="00D11897"/>
    <w:rsid w:val="00D12304"/>
    <w:rsid w:val="00D123DA"/>
    <w:rsid w:val="00D13135"/>
    <w:rsid w:val="00D13ABF"/>
    <w:rsid w:val="00D13E4E"/>
    <w:rsid w:val="00D1421B"/>
    <w:rsid w:val="00D1423C"/>
    <w:rsid w:val="00D15089"/>
    <w:rsid w:val="00D1723B"/>
    <w:rsid w:val="00D17F53"/>
    <w:rsid w:val="00D212FD"/>
    <w:rsid w:val="00D21AEE"/>
    <w:rsid w:val="00D21F19"/>
    <w:rsid w:val="00D226C5"/>
    <w:rsid w:val="00D22874"/>
    <w:rsid w:val="00D239A7"/>
    <w:rsid w:val="00D23F47"/>
    <w:rsid w:val="00D24453"/>
    <w:rsid w:val="00D2503E"/>
    <w:rsid w:val="00D25B3F"/>
    <w:rsid w:val="00D26D85"/>
    <w:rsid w:val="00D27F89"/>
    <w:rsid w:val="00D3005B"/>
    <w:rsid w:val="00D302AC"/>
    <w:rsid w:val="00D3101D"/>
    <w:rsid w:val="00D31E93"/>
    <w:rsid w:val="00D32166"/>
    <w:rsid w:val="00D34D11"/>
    <w:rsid w:val="00D35234"/>
    <w:rsid w:val="00D35EC2"/>
    <w:rsid w:val="00D36E71"/>
    <w:rsid w:val="00D37345"/>
    <w:rsid w:val="00D378DB"/>
    <w:rsid w:val="00D37BA2"/>
    <w:rsid w:val="00D37D87"/>
    <w:rsid w:val="00D40B33"/>
    <w:rsid w:val="00D42432"/>
    <w:rsid w:val="00D42AE0"/>
    <w:rsid w:val="00D42B6E"/>
    <w:rsid w:val="00D4318F"/>
    <w:rsid w:val="00D43400"/>
    <w:rsid w:val="00D438BF"/>
    <w:rsid w:val="00D43C90"/>
    <w:rsid w:val="00D440F8"/>
    <w:rsid w:val="00D4465F"/>
    <w:rsid w:val="00D44E9F"/>
    <w:rsid w:val="00D45637"/>
    <w:rsid w:val="00D46FA5"/>
    <w:rsid w:val="00D47676"/>
    <w:rsid w:val="00D477EB"/>
    <w:rsid w:val="00D51446"/>
    <w:rsid w:val="00D524F0"/>
    <w:rsid w:val="00D533A8"/>
    <w:rsid w:val="00D546FF"/>
    <w:rsid w:val="00D55AD5"/>
    <w:rsid w:val="00D55B51"/>
    <w:rsid w:val="00D55C96"/>
    <w:rsid w:val="00D576CA"/>
    <w:rsid w:val="00D601A6"/>
    <w:rsid w:val="00D60E13"/>
    <w:rsid w:val="00D61A7E"/>
    <w:rsid w:val="00D61AF5"/>
    <w:rsid w:val="00D62CD5"/>
    <w:rsid w:val="00D63268"/>
    <w:rsid w:val="00D6350C"/>
    <w:rsid w:val="00D63C72"/>
    <w:rsid w:val="00D6435F"/>
    <w:rsid w:val="00D64425"/>
    <w:rsid w:val="00D6498F"/>
    <w:rsid w:val="00D64A1D"/>
    <w:rsid w:val="00D652B5"/>
    <w:rsid w:val="00D66155"/>
    <w:rsid w:val="00D6636A"/>
    <w:rsid w:val="00D67317"/>
    <w:rsid w:val="00D67A00"/>
    <w:rsid w:val="00D7080A"/>
    <w:rsid w:val="00D708B0"/>
    <w:rsid w:val="00D70E73"/>
    <w:rsid w:val="00D73123"/>
    <w:rsid w:val="00D732C4"/>
    <w:rsid w:val="00D76603"/>
    <w:rsid w:val="00D76F86"/>
    <w:rsid w:val="00D77B1D"/>
    <w:rsid w:val="00D77F80"/>
    <w:rsid w:val="00D8021F"/>
    <w:rsid w:val="00D80383"/>
    <w:rsid w:val="00D807B4"/>
    <w:rsid w:val="00D815D6"/>
    <w:rsid w:val="00D81C48"/>
    <w:rsid w:val="00D8202A"/>
    <w:rsid w:val="00D8203B"/>
    <w:rsid w:val="00D823C6"/>
    <w:rsid w:val="00D8351F"/>
    <w:rsid w:val="00D837A6"/>
    <w:rsid w:val="00D837F6"/>
    <w:rsid w:val="00D855A3"/>
    <w:rsid w:val="00D85EF7"/>
    <w:rsid w:val="00D86C60"/>
    <w:rsid w:val="00D86CA3"/>
    <w:rsid w:val="00D871CE"/>
    <w:rsid w:val="00D902CE"/>
    <w:rsid w:val="00D90F28"/>
    <w:rsid w:val="00D9196D"/>
    <w:rsid w:val="00D91AF1"/>
    <w:rsid w:val="00D920A7"/>
    <w:rsid w:val="00D92982"/>
    <w:rsid w:val="00D92E39"/>
    <w:rsid w:val="00D9303F"/>
    <w:rsid w:val="00D933E0"/>
    <w:rsid w:val="00D94297"/>
    <w:rsid w:val="00D94C47"/>
    <w:rsid w:val="00D95492"/>
    <w:rsid w:val="00D95A22"/>
    <w:rsid w:val="00D965C0"/>
    <w:rsid w:val="00D96A27"/>
    <w:rsid w:val="00D97B29"/>
    <w:rsid w:val="00DA0701"/>
    <w:rsid w:val="00DA10EC"/>
    <w:rsid w:val="00DA1F85"/>
    <w:rsid w:val="00DA305E"/>
    <w:rsid w:val="00DA3AD3"/>
    <w:rsid w:val="00DA4273"/>
    <w:rsid w:val="00DA5007"/>
    <w:rsid w:val="00DA5417"/>
    <w:rsid w:val="00DA56E8"/>
    <w:rsid w:val="00DA67A6"/>
    <w:rsid w:val="00DA6B91"/>
    <w:rsid w:val="00DB06D8"/>
    <w:rsid w:val="00DB0A9F"/>
    <w:rsid w:val="00DB377D"/>
    <w:rsid w:val="00DB4E1B"/>
    <w:rsid w:val="00DB4ECB"/>
    <w:rsid w:val="00DB5B21"/>
    <w:rsid w:val="00DB5F54"/>
    <w:rsid w:val="00DB6CF8"/>
    <w:rsid w:val="00DB7182"/>
    <w:rsid w:val="00DC0DE9"/>
    <w:rsid w:val="00DC10E9"/>
    <w:rsid w:val="00DC1B89"/>
    <w:rsid w:val="00DC21E1"/>
    <w:rsid w:val="00DC220C"/>
    <w:rsid w:val="00DC2D36"/>
    <w:rsid w:val="00DC3102"/>
    <w:rsid w:val="00DC33E4"/>
    <w:rsid w:val="00DC3DD8"/>
    <w:rsid w:val="00DC53EF"/>
    <w:rsid w:val="00DC6D71"/>
    <w:rsid w:val="00DC7171"/>
    <w:rsid w:val="00DC7F66"/>
    <w:rsid w:val="00DC7FEA"/>
    <w:rsid w:val="00DD0792"/>
    <w:rsid w:val="00DD0DB7"/>
    <w:rsid w:val="00DD1E7C"/>
    <w:rsid w:val="00DD3A35"/>
    <w:rsid w:val="00DD53EF"/>
    <w:rsid w:val="00DD7867"/>
    <w:rsid w:val="00DE195A"/>
    <w:rsid w:val="00DE3A33"/>
    <w:rsid w:val="00DE5608"/>
    <w:rsid w:val="00DE58D0"/>
    <w:rsid w:val="00DE5B62"/>
    <w:rsid w:val="00DE654F"/>
    <w:rsid w:val="00DE6D7B"/>
    <w:rsid w:val="00DE77CE"/>
    <w:rsid w:val="00DF0AD1"/>
    <w:rsid w:val="00DF0B6E"/>
    <w:rsid w:val="00DF15E0"/>
    <w:rsid w:val="00DF1C6F"/>
    <w:rsid w:val="00DF20A7"/>
    <w:rsid w:val="00DF346D"/>
    <w:rsid w:val="00DF37A0"/>
    <w:rsid w:val="00DF5C56"/>
    <w:rsid w:val="00DF613F"/>
    <w:rsid w:val="00DF719F"/>
    <w:rsid w:val="00DF7D27"/>
    <w:rsid w:val="00E008FB"/>
    <w:rsid w:val="00E00F51"/>
    <w:rsid w:val="00E01279"/>
    <w:rsid w:val="00E02835"/>
    <w:rsid w:val="00E02CFE"/>
    <w:rsid w:val="00E05B34"/>
    <w:rsid w:val="00E0746E"/>
    <w:rsid w:val="00E10809"/>
    <w:rsid w:val="00E10F6C"/>
    <w:rsid w:val="00E110E7"/>
    <w:rsid w:val="00E110F8"/>
    <w:rsid w:val="00E112B1"/>
    <w:rsid w:val="00E11B20"/>
    <w:rsid w:val="00E14C00"/>
    <w:rsid w:val="00E156FA"/>
    <w:rsid w:val="00E15D1F"/>
    <w:rsid w:val="00E16088"/>
    <w:rsid w:val="00E174CA"/>
    <w:rsid w:val="00E17970"/>
    <w:rsid w:val="00E17B45"/>
    <w:rsid w:val="00E17FA2"/>
    <w:rsid w:val="00E20610"/>
    <w:rsid w:val="00E213A8"/>
    <w:rsid w:val="00E22330"/>
    <w:rsid w:val="00E22482"/>
    <w:rsid w:val="00E23101"/>
    <w:rsid w:val="00E240E3"/>
    <w:rsid w:val="00E2467B"/>
    <w:rsid w:val="00E25075"/>
    <w:rsid w:val="00E25B80"/>
    <w:rsid w:val="00E2667C"/>
    <w:rsid w:val="00E275D1"/>
    <w:rsid w:val="00E27E9B"/>
    <w:rsid w:val="00E30B5A"/>
    <w:rsid w:val="00E3123D"/>
    <w:rsid w:val="00E31461"/>
    <w:rsid w:val="00E31C0F"/>
    <w:rsid w:val="00E31D43"/>
    <w:rsid w:val="00E32608"/>
    <w:rsid w:val="00E32C7B"/>
    <w:rsid w:val="00E33569"/>
    <w:rsid w:val="00E33E4A"/>
    <w:rsid w:val="00E34188"/>
    <w:rsid w:val="00E345CD"/>
    <w:rsid w:val="00E34B6E"/>
    <w:rsid w:val="00E35559"/>
    <w:rsid w:val="00E35FAD"/>
    <w:rsid w:val="00E36156"/>
    <w:rsid w:val="00E36335"/>
    <w:rsid w:val="00E371BC"/>
    <w:rsid w:val="00E3723A"/>
    <w:rsid w:val="00E37860"/>
    <w:rsid w:val="00E40860"/>
    <w:rsid w:val="00E418F3"/>
    <w:rsid w:val="00E43656"/>
    <w:rsid w:val="00E43E8C"/>
    <w:rsid w:val="00E446F1"/>
    <w:rsid w:val="00E44B94"/>
    <w:rsid w:val="00E44E74"/>
    <w:rsid w:val="00E455E2"/>
    <w:rsid w:val="00E46886"/>
    <w:rsid w:val="00E46A82"/>
    <w:rsid w:val="00E47AEF"/>
    <w:rsid w:val="00E47D7A"/>
    <w:rsid w:val="00E52E6B"/>
    <w:rsid w:val="00E53B29"/>
    <w:rsid w:val="00E53B75"/>
    <w:rsid w:val="00E54E3B"/>
    <w:rsid w:val="00E557CC"/>
    <w:rsid w:val="00E571CE"/>
    <w:rsid w:val="00E57565"/>
    <w:rsid w:val="00E57A1C"/>
    <w:rsid w:val="00E60323"/>
    <w:rsid w:val="00E604AE"/>
    <w:rsid w:val="00E62803"/>
    <w:rsid w:val="00E63493"/>
    <w:rsid w:val="00E63838"/>
    <w:rsid w:val="00E64434"/>
    <w:rsid w:val="00E64A86"/>
    <w:rsid w:val="00E67C51"/>
    <w:rsid w:val="00E70D86"/>
    <w:rsid w:val="00E72EFC"/>
    <w:rsid w:val="00E72FC5"/>
    <w:rsid w:val="00E74298"/>
    <w:rsid w:val="00E758EC"/>
    <w:rsid w:val="00E760A6"/>
    <w:rsid w:val="00E760BE"/>
    <w:rsid w:val="00E76D76"/>
    <w:rsid w:val="00E778C5"/>
    <w:rsid w:val="00E77BA3"/>
    <w:rsid w:val="00E8234C"/>
    <w:rsid w:val="00E83AA9"/>
    <w:rsid w:val="00E83F9B"/>
    <w:rsid w:val="00E8495D"/>
    <w:rsid w:val="00E84ABD"/>
    <w:rsid w:val="00E84C7A"/>
    <w:rsid w:val="00E85928"/>
    <w:rsid w:val="00E87822"/>
    <w:rsid w:val="00E90395"/>
    <w:rsid w:val="00E90E49"/>
    <w:rsid w:val="00E91756"/>
    <w:rsid w:val="00E917F9"/>
    <w:rsid w:val="00E91E36"/>
    <w:rsid w:val="00E9291C"/>
    <w:rsid w:val="00E93BE2"/>
    <w:rsid w:val="00E93FFE"/>
    <w:rsid w:val="00E94B98"/>
    <w:rsid w:val="00E94F8A"/>
    <w:rsid w:val="00E96405"/>
    <w:rsid w:val="00E965A1"/>
    <w:rsid w:val="00E9719C"/>
    <w:rsid w:val="00EA0584"/>
    <w:rsid w:val="00EA21AE"/>
    <w:rsid w:val="00EA2787"/>
    <w:rsid w:val="00EA355D"/>
    <w:rsid w:val="00EA422D"/>
    <w:rsid w:val="00EA59B3"/>
    <w:rsid w:val="00EA5B73"/>
    <w:rsid w:val="00EA6A36"/>
    <w:rsid w:val="00EA6E0E"/>
    <w:rsid w:val="00EA7389"/>
    <w:rsid w:val="00EA765C"/>
    <w:rsid w:val="00EA7A41"/>
    <w:rsid w:val="00EA7DC4"/>
    <w:rsid w:val="00EB077B"/>
    <w:rsid w:val="00EB1366"/>
    <w:rsid w:val="00EB1800"/>
    <w:rsid w:val="00EB28D5"/>
    <w:rsid w:val="00EB2A5D"/>
    <w:rsid w:val="00EB3351"/>
    <w:rsid w:val="00EB4EA2"/>
    <w:rsid w:val="00EB62EC"/>
    <w:rsid w:val="00EB6361"/>
    <w:rsid w:val="00EB7255"/>
    <w:rsid w:val="00EB7F3C"/>
    <w:rsid w:val="00EC238A"/>
    <w:rsid w:val="00EC25D2"/>
    <w:rsid w:val="00EC27C6"/>
    <w:rsid w:val="00EC369F"/>
    <w:rsid w:val="00EC38A0"/>
    <w:rsid w:val="00EC4207"/>
    <w:rsid w:val="00EC4A0B"/>
    <w:rsid w:val="00EC4A1E"/>
    <w:rsid w:val="00EC4C96"/>
    <w:rsid w:val="00EC4CB4"/>
    <w:rsid w:val="00EC5653"/>
    <w:rsid w:val="00EC5878"/>
    <w:rsid w:val="00EC60B5"/>
    <w:rsid w:val="00EC66B4"/>
    <w:rsid w:val="00EC71CE"/>
    <w:rsid w:val="00EC7304"/>
    <w:rsid w:val="00ED0750"/>
    <w:rsid w:val="00ED0D52"/>
    <w:rsid w:val="00ED1006"/>
    <w:rsid w:val="00ED12D9"/>
    <w:rsid w:val="00ED32A0"/>
    <w:rsid w:val="00ED41B1"/>
    <w:rsid w:val="00ED5C4D"/>
    <w:rsid w:val="00ED5DF4"/>
    <w:rsid w:val="00ED5E24"/>
    <w:rsid w:val="00ED624C"/>
    <w:rsid w:val="00ED6E06"/>
    <w:rsid w:val="00EE0956"/>
    <w:rsid w:val="00EE0D36"/>
    <w:rsid w:val="00EE1797"/>
    <w:rsid w:val="00EE1D20"/>
    <w:rsid w:val="00EE25E7"/>
    <w:rsid w:val="00EE294B"/>
    <w:rsid w:val="00EE3C5B"/>
    <w:rsid w:val="00EE3CF0"/>
    <w:rsid w:val="00EE4206"/>
    <w:rsid w:val="00EE4434"/>
    <w:rsid w:val="00EE57B6"/>
    <w:rsid w:val="00EE6005"/>
    <w:rsid w:val="00EE6379"/>
    <w:rsid w:val="00EE6561"/>
    <w:rsid w:val="00EE73E8"/>
    <w:rsid w:val="00EE7FA7"/>
    <w:rsid w:val="00EF0038"/>
    <w:rsid w:val="00EF10BC"/>
    <w:rsid w:val="00EF186A"/>
    <w:rsid w:val="00EF18FE"/>
    <w:rsid w:val="00EF1A11"/>
    <w:rsid w:val="00EF25F3"/>
    <w:rsid w:val="00EF2E6C"/>
    <w:rsid w:val="00EF2F9E"/>
    <w:rsid w:val="00EF5052"/>
    <w:rsid w:val="00EF5787"/>
    <w:rsid w:val="00EF5C9F"/>
    <w:rsid w:val="00EF60D0"/>
    <w:rsid w:val="00EF6422"/>
    <w:rsid w:val="00EF6D14"/>
    <w:rsid w:val="00EF7136"/>
    <w:rsid w:val="00EF71DB"/>
    <w:rsid w:val="00F0201B"/>
    <w:rsid w:val="00F0528D"/>
    <w:rsid w:val="00F05C6C"/>
    <w:rsid w:val="00F05D43"/>
    <w:rsid w:val="00F06C67"/>
    <w:rsid w:val="00F06CDB"/>
    <w:rsid w:val="00F06DFD"/>
    <w:rsid w:val="00F071D1"/>
    <w:rsid w:val="00F07533"/>
    <w:rsid w:val="00F076A6"/>
    <w:rsid w:val="00F0780F"/>
    <w:rsid w:val="00F07FD6"/>
    <w:rsid w:val="00F10629"/>
    <w:rsid w:val="00F10A9B"/>
    <w:rsid w:val="00F12966"/>
    <w:rsid w:val="00F12B9C"/>
    <w:rsid w:val="00F14A5C"/>
    <w:rsid w:val="00F1551D"/>
    <w:rsid w:val="00F1556E"/>
    <w:rsid w:val="00F15F1E"/>
    <w:rsid w:val="00F15FA5"/>
    <w:rsid w:val="00F1625B"/>
    <w:rsid w:val="00F1741C"/>
    <w:rsid w:val="00F17AF1"/>
    <w:rsid w:val="00F209B7"/>
    <w:rsid w:val="00F20B4F"/>
    <w:rsid w:val="00F21C47"/>
    <w:rsid w:val="00F23201"/>
    <w:rsid w:val="00F2376F"/>
    <w:rsid w:val="00F23889"/>
    <w:rsid w:val="00F243D8"/>
    <w:rsid w:val="00F24E55"/>
    <w:rsid w:val="00F254B6"/>
    <w:rsid w:val="00F25D80"/>
    <w:rsid w:val="00F26AFC"/>
    <w:rsid w:val="00F26DBB"/>
    <w:rsid w:val="00F26DEE"/>
    <w:rsid w:val="00F30828"/>
    <w:rsid w:val="00F30E66"/>
    <w:rsid w:val="00F313D6"/>
    <w:rsid w:val="00F31E10"/>
    <w:rsid w:val="00F32532"/>
    <w:rsid w:val="00F326FD"/>
    <w:rsid w:val="00F32C68"/>
    <w:rsid w:val="00F33BAD"/>
    <w:rsid w:val="00F33DF2"/>
    <w:rsid w:val="00F34D6D"/>
    <w:rsid w:val="00F40207"/>
    <w:rsid w:val="00F40806"/>
    <w:rsid w:val="00F40F0C"/>
    <w:rsid w:val="00F4299D"/>
    <w:rsid w:val="00F42AC8"/>
    <w:rsid w:val="00F4350D"/>
    <w:rsid w:val="00F4352A"/>
    <w:rsid w:val="00F4634F"/>
    <w:rsid w:val="00F4766C"/>
    <w:rsid w:val="00F478EB"/>
    <w:rsid w:val="00F47D9C"/>
    <w:rsid w:val="00F50402"/>
    <w:rsid w:val="00F507D1"/>
    <w:rsid w:val="00F509B1"/>
    <w:rsid w:val="00F519CE"/>
    <w:rsid w:val="00F51ADA"/>
    <w:rsid w:val="00F51CB3"/>
    <w:rsid w:val="00F54C67"/>
    <w:rsid w:val="00F56039"/>
    <w:rsid w:val="00F56372"/>
    <w:rsid w:val="00F56734"/>
    <w:rsid w:val="00F607C5"/>
    <w:rsid w:val="00F60931"/>
    <w:rsid w:val="00F60DEA"/>
    <w:rsid w:val="00F61E9C"/>
    <w:rsid w:val="00F61F51"/>
    <w:rsid w:val="00F6302A"/>
    <w:rsid w:val="00F63111"/>
    <w:rsid w:val="00F64295"/>
    <w:rsid w:val="00F64C2B"/>
    <w:rsid w:val="00F651BE"/>
    <w:rsid w:val="00F65DAC"/>
    <w:rsid w:val="00F664F3"/>
    <w:rsid w:val="00F668D2"/>
    <w:rsid w:val="00F672B2"/>
    <w:rsid w:val="00F67F53"/>
    <w:rsid w:val="00F703BE"/>
    <w:rsid w:val="00F703FC"/>
    <w:rsid w:val="00F71F69"/>
    <w:rsid w:val="00F72052"/>
    <w:rsid w:val="00F72A1E"/>
    <w:rsid w:val="00F72A83"/>
    <w:rsid w:val="00F72B72"/>
    <w:rsid w:val="00F74BB9"/>
    <w:rsid w:val="00F74FB5"/>
    <w:rsid w:val="00F75582"/>
    <w:rsid w:val="00F759C6"/>
    <w:rsid w:val="00F75A7F"/>
    <w:rsid w:val="00F75E6F"/>
    <w:rsid w:val="00F76EFA"/>
    <w:rsid w:val="00F772AF"/>
    <w:rsid w:val="00F804BE"/>
    <w:rsid w:val="00F817CE"/>
    <w:rsid w:val="00F8255C"/>
    <w:rsid w:val="00F8284A"/>
    <w:rsid w:val="00F84530"/>
    <w:rsid w:val="00F8456C"/>
    <w:rsid w:val="00F84884"/>
    <w:rsid w:val="00F859D8"/>
    <w:rsid w:val="00F868F5"/>
    <w:rsid w:val="00F87502"/>
    <w:rsid w:val="00F9056A"/>
    <w:rsid w:val="00F90579"/>
    <w:rsid w:val="00F9083B"/>
    <w:rsid w:val="00F90F8D"/>
    <w:rsid w:val="00F9147E"/>
    <w:rsid w:val="00F917DF"/>
    <w:rsid w:val="00F92782"/>
    <w:rsid w:val="00F92C52"/>
    <w:rsid w:val="00F93121"/>
    <w:rsid w:val="00F93755"/>
    <w:rsid w:val="00F93960"/>
    <w:rsid w:val="00F93AA9"/>
    <w:rsid w:val="00F957E3"/>
    <w:rsid w:val="00F96985"/>
    <w:rsid w:val="00F96D27"/>
    <w:rsid w:val="00F96EFF"/>
    <w:rsid w:val="00F97838"/>
    <w:rsid w:val="00F97BE1"/>
    <w:rsid w:val="00FA05D5"/>
    <w:rsid w:val="00FA0C03"/>
    <w:rsid w:val="00FA247C"/>
    <w:rsid w:val="00FA2BB3"/>
    <w:rsid w:val="00FA536E"/>
    <w:rsid w:val="00FA5D49"/>
    <w:rsid w:val="00FA7B03"/>
    <w:rsid w:val="00FA7B90"/>
    <w:rsid w:val="00FA7D85"/>
    <w:rsid w:val="00FB08FC"/>
    <w:rsid w:val="00FB14DB"/>
    <w:rsid w:val="00FB18E4"/>
    <w:rsid w:val="00FB2CD7"/>
    <w:rsid w:val="00FB3D52"/>
    <w:rsid w:val="00FB46E6"/>
    <w:rsid w:val="00FB4C80"/>
    <w:rsid w:val="00FB52F6"/>
    <w:rsid w:val="00FB6A6A"/>
    <w:rsid w:val="00FB6ACF"/>
    <w:rsid w:val="00FB7BDB"/>
    <w:rsid w:val="00FB7D16"/>
    <w:rsid w:val="00FC0206"/>
    <w:rsid w:val="00FC06D9"/>
    <w:rsid w:val="00FC076D"/>
    <w:rsid w:val="00FC0A78"/>
    <w:rsid w:val="00FC0F3A"/>
    <w:rsid w:val="00FC16DF"/>
    <w:rsid w:val="00FC188F"/>
    <w:rsid w:val="00FC1AA6"/>
    <w:rsid w:val="00FC1F9D"/>
    <w:rsid w:val="00FC285A"/>
    <w:rsid w:val="00FC4608"/>
    <w:rsid w:val="00FC4767"/>
    <w:rsid w:val="00FC4AD0"/>
    <w:rsid w:val="00FC7016"/>
    <w:rsid w:val="00FC7429"/>
    <w:rsid w:val="00FC7922"/>
    <w:rsid w:val="00FD07F6"/>
    <w:rsid w:val="00FD14F7"/>
    <w:rsid w:val="00FD1D12"/>
    <w:rsid w:val="00FD1EC8"/>
    <w:rsid w:val="00FD20E5"/>
    <w:rsid w:val="00FD3FB3"/>
    <w:rsid w:val="00FD47ED"/>
    <w:rsid w:val="00FD4A87"/>
    <w:rsid w:val="00FD4ECA"/>
    <w:rsid w:val="00FD5BCB"/>
    <w:rsid w:val="00FD7449"/>
    <w:rsid w:val="00FD74DB"/>
    <w:rsid w:val="00FD7660"/>
    <w:rsid w:val="00FE0655"/>
    <w:rsid w:val="00FE0A19"/>
    <w:rsid w:val="00FE20DB"/>
    <w:rsid w:val="00FE2365"/>
    <w:rsid w:val="00FE2451"/>
    <w:rsid w:val="00FE25DD"/>
    <w:rsid w:val="00FE2740"/>
    <w:rsid w:val="00FE2927"/>
    <w:rsid w:val="00FE2FCE"/>
    <w:rsid w:val="00FE303A"/>
    <w:rsid w:val="00FE41EF"/>
    <w:rsid w:val="00FE4C7B"/>
    <w:rsid w:val="00FE5AC8"/>
    <w:rsid w:val="00FE6E02"/>
    <w:rsid w:val="00FE7228"/>
    <w:rsid w:val="00FE7336"/>
    <w:rsid w:val="00FE787C"/>
    <w:rsid w:val="00FF05B7"/>
    <w:rsid w:val="00FF0ED6"/>
    <w:rsid w:val="00FF1CBA"/>
    <w:rsid w:val="00FF1E31"/>
    <w:rsid w:val="00FF2329"/>
    <w:rsid w:val="00FF370E"/>
    <w:rsid w:val="00FF39AF"/>
    <w:rsid w:val="00FF3B0E"/>
    <w:rsid w:val="00FF45A5"/>
    <w:rsid w:val="00FF4D74"/>
    <w:rsid w:val="00FF5139"/>
    <w:rsid w:val="00FF53BF"/>
    <w:rsid w:val="00FF5C91"/>
    <w:rsid w:val="00FF6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C47"/>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D94C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4C4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qFormat/>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character" w:customStyle="1" w:styleId="CommentTextChar">
    <w:name w:val="Comment Text Char"/>
    <w:link w:val="CommentText"/>
    <w:qFormat/>
    <w:rsid w:val="00CF12CF"/>
    <w:rPr>
      <w:rFonts w:asciiTheme="minorHAnsi" w:eastAsiaTheme="minorEastAsia" w:hAnsiTheme="minorHAnsi" w:cstheme="minorBidi"/>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150220017">
      <w:bodyDiv w:val="1"/>
      <w:marLeft w:val="0"/>
      <w:marRight w:val="0"/>
      <w:marTop w:val="0"/>
      <w:marBottom w:val="0"/>
      <w:divBdr>
        <w:top w:val="none" w:sz="0" w:space="0" w:color="auto"/>
        <w:left w:val="none" w:sz="0" w:space="0" w:color="auto"/>
        <w:bottom w:val="none" w:sz="0" w:space="0" w:color="auto"/>
        <w:right w:val="none" w:sz="0" w:space="0" w:color="auto"/>
      </w:divBdr>
      <w:divsChild>
        <w:div w:id="621807890">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4770435">
      <w:bodyDiv w:val="1"/>
      <w:marLeft w:val="0"/>
      <w:marRight w:val="0"/>
      <w:marTop w:val="0"/>
      <w:marBottom w:val="0"/>
      <w:divBdr>
        <w:top w:val="none" w:sz="0" w:space="0" w:color="auto"/>
        <w:left w:val="none" w:sz="0" w:space="0" w:color="auto"/>
        <w:bottom w:val="none" w:sz="0" w:space="0" w:color="auto"/>
        <w:right w:val="none" w:sz="0" w:space="0" w:color="auto"/>
      </w:divBdr>
      <w:divsChild>
        <w:div w:id="1557007695">
          <w:marLeft w:val="0"/>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9587401">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372028856">
      <w:bodyDiv w:val="1"/>
      <w:marLeft w:val="0"/>
      <w:marRight w:val="0"/>
      <w:marTop w:val="0"/>
      <w:marBottom w:val="0"/>
      <w:divBdr>
        <w:top w:val="none" w:sz="0" w:space="0" w:color="auto"/>
        <w:left w:val="none" w:sz="0" w:space="0" w:color="auto"/>
        <w:bottom w:val="none" w:sz="0" w:space="0" w:color="auto"/>
        <w:right w:val="none" w:sz="0" w:space="0" w:color="auto"/>
      </w:divBdr>
      <w:divsChild>
        <w:div w:id="1208641245">
          <w:marLeft w:val="0"/>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D58B85A7-DE5A-4BEF-B55D-F2EE7D10C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1505</Words>
  <Characters>8581</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 Tao</cp:lastModifiedBy>
  <cp:revision>6</cp:revision>
  <cp:lastPrinted>2008-01-31T06:09:00Z</cp:lastPrinted>
  <dcterms:created xsi:type="dcterms:W3CDTF">2019-11-07T15:02:00Z</dcterms:created>
  <dcterms:modified xsi:type="dcterms:W3CDTF">2019-11-07T15:17:00Z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